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CEA8" w14:textId="3F7E843F" w:rsidR="002E0506" w:rsidRDefault="002E0506" w:rsidP="002E0506">
      <w:pPr>
        <w:pStyle w:val="Heading1"/>
        <w:spacing w:after="120"/>
        <w:jc w:val="center"/>
        <w:rPr>
          <w:rFonts w:ascii="Arial" w:hAnsi="Arial" w:cs="Arial"/>
          <w:bCs/>
          <w:color w:val="000000" w:themeColor="text1"/>
        </w:rPr>
      </w:pPr>
      <w:r w:rsidRPr="002E0506">
        <w:rPr>
          <w:rFonts w:ascii="Arial" w:hAnsi="Arial" w:cs="Arial"/>
          <w:color w:val="000000" w:themeColor="text1"/>
          <w:sz w:val="28"/>
          <w:szCs w:val="28"/>
        </w:rPr>
        <w:t>Summary of PSR Decisions (1 April 2025 to 31 March 2026</w:t>
      </w:r>
      <w:r w:rsidRPr="001A132D">
        <w:rPr>
          <w:rFonts w:ascii="Arial" w:hAnsi="Arial" w:cs="Arial"/>
          <w:color w:val="000000" w:themeColor="text1"/>
        </w:rPr>
        <w:t>)</w:t>
      </w:r>
    </w:p>
    <w:p w14:paraId="3204F659" w14:textId="77777777" w:rsidR="002E0506" w:rsidRDefault="002E0506" w:rsidP="002E0506"/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794B27" w:rsidRPr="00E40BAE" w14:paraId="079419D6" w14:textId="77777777" w:rsidTr="00EB39FA">
        <w:trPr>
          <w:cantSplit/>
        </w:trPr>
        <w:tc>
          <w:tcPr>
            <w:tcW w:w="9298" w:type="dxa"/>
            <w:gridSpan w:val="2"/>
          </w:tcPr>
          <w:p w14:paraId="05361A1A" w14:textId="77777777" w:rsidR="00794B27" w:rsidRPr="00E40BAE" w:rsidRDefault="00794B27" w:rsidP="00EB39FA">
            <w:pPr>
              <w:spacing w:before="60" w:after="60" w:line="276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Lincolnshire</w:t>
            </w:r>
          </w:p>
        </w:tc>
      </w:tr>
      <w:tr w:rsidR="00794B27" w:rsidRPr="00E40BAE" w14:paraId="45702A8F" w14:textId="77777777" w:rsidTr="00EB39FA">
        <w:trPr>
          <w:cantSplit/>
        </w:trPr>
        <w:tc>
          <w:tcPr>
            <w:tcW w:w="4649" w:type="dxa"/>
          </w:tcPr>
          <w:p w14:paraId="57AFD7AB" w14:textId="77777777" w:rsidR="00794B27" w:rsidRPr="00E40BAE" w:rsidRDefault="00794B27" w:rsidP="00EB39FA">
            <w:pPr>
              <w:spacing w:before="60" w:after="60" w:line="276" w:lineRule="auto"/>
              <w:jc w:val="left"/>
              <w:rPr>
                <w:rFonts w:cs="Arial"/>
                <w:b/>
                <w:bCs/>
                <w:sz w:val="24"/>
                <w:szCs w:val="24"/>
              </w:rPr>
            </w:pPr>
            <w:r w:rsidRPr="00E40BAE">
              <w:rPr>
                <w:rFonts w:cs="Arial"/>
                <w:b/>
                <w:bCs/>
                <w:sz w:val="24"/>
                <w:szCs w:val="24"/>
              </w:rPr>
              <w:t>Reporting requirement</w:t>
            </w:r>
          </w:p>
        </w:tc>
        <w:tc>
          <w:tcPr>
            <w:tcW w:w="4649" w:type="dxa"/>
          </w:tcPr>
          <w:p w14:paraId="0FF1AC6A" w14:textId="77777777" w:rsidR="00794B27" w:rsidRPr="00E40BAE" w:rsidRDefault="00794B27" w:rsidP="00EB39FA">
            <w:pPr>
              <w:spacing w:before="60" w:after="60" w:line="276" w:lineRule="auto"/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E40BAE">
              <w:rPr>
                <w:rFonts w:cs="Arial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cs="Arial"/>
                <w:b/>
                <w:bCs/>
                <w:sz w:val="24"/>
                <w:szCs w:val="24"/>
              </w:rPr>
              <w:t>April 2025</w:t>
            </w:r>
            <w:r w:rsidRPr="00E40BAE">
              <w:rPr>
                <w:rFonts w:cs="Arial"/>
                <w:b/>
                <w:bCs/>
                <w:sz w:val="24"/>
                <w:szCs w:val="24"/>
              </w:rPr>
              <w:t xml:space="preserve"> to 31 March 202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</w:tr>
      <w:tr w:rsidR="00794B27" w:rsidRPr="00CC6A78" w14:paraId="1BE5381B" w14:textId="77777777" w:rsidTr="00EB39FA">
        <w:trPr>
          <w:cantSplit/>
        </w:trPr>
        <w:tc>
          <w:tcPr>
            <w:tcW w:w="4649" w:type="dxa"/>
          </w:tcPr>
          <w:p w14:paraId="7B1D97CC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contracts directly awarded under direct award process A</w:t>
            </w:r>
          </w:p>
        </w:tc>
        <w:tc>
          <w:tcPr>
            <w:tcW w:w="4649" w:type="dxa"/>
          </w:tcPr>
          <w:p w14:paraId="395563DF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3</w:t>
            </w:r>
          </w:p>
        </w:tc>
      </w:tr>
      <w:tr w:rsidR="00794B27" w:rsidRPr="00CC6A78" w14:paraId="60300CB8" w14:textId="77777777" w:rsidTr="00EB39FA">
        <w:trPr>
          <w:cantSplit/>
        </w:trPr>
        <w:tc>
          <w:tcPr>
            <w:tcW w:w="4649" w:type="dxa"/>
          </w:tcPr>
          <w:p w14:paraId="43A63255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contracts directly awarded under direct award process B</w:t>
            </w:r>
          </w:p>
        </w:tc>
        <w:tc>
          <w:tcPr>
            <w:tcW w:w="4649" w:type="dxa"/>
          </w:tcPr>
          <w:p w14:paraId="59E5CE81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27</w:t>
            </w:r>
          </w:p>
        </w:tc>
      </w:tr>
      <w:tr w:rsidR="00794B27" w:rsidRPr="00CC6A78" w14:paraId="6C0B78CF" w14:textId="77777777" w:rsidTr="00EB39FA">
        <w:trPr>
          <w:cantSplit/>
        </w:trPr>
        <w:tc>
          <w:tcPr>
            <w:tcW w:w="4649" w:type="dxa"/>
          </w:tcPr>
          <w:p w14:paraId="2E64D13A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contracts directly awarded under direct award process C</w:t>
            </w:r>
          </w:p>
        </w:tc>
        <w:tc>
          <w:tcPr>
            <w:tcW w:w="4649" w:type="dxa"/>
          </w:tcPr>
          <w:p w14:paraId="6CBB6480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99</w:t>
            </w:r>
          </w:p>
        </w:tc>
      </w:tr>
      <w:tr w:rsidR="00794B27" w:rsidRPr="00CC6A78" w14:paraId="55CF581C" w14:textId="77777777" w:rsidTr="00EB39FA">
        <w:trPr>
          <w:cantSplit/>
        </w:trPr>
        <w:tc>
          <w:tcPr>
            <w:tcW w:w="4649" w:type="dxa"/>
          </w:tcPr>
          <w:p w14:paraId="0F269636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contracts awarded under the most suitable provider process</w:t>
            </w:r>
          </w:p>
        </w:tc>
        <w:tc>
          <w:tcPr>
            <w:tcW w:w="4649" w:type="dxa"/>
          </w:tcPr>
          <w:p w14:paraId="565D5694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  <w:tr w:rsidR="00794B27" w:rsidRPr="00CC6A78" w14:paraId="019D4B63" w14:textId="77777777" w:rsidTr="00EB39FA">
        <w:trPr>
          <w:cantSplit/>
        </w:trPr>
        <w:tc>
          <w:tcPr>
            <w:tcW w:w="4649" w:type="dxa"/>
          </w:tcPr>
          <w:p w14:paraId="0E741D0A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contracts awarded under the competitive process</w:t>
            </w:r>
          </w:p>
        </w:tc>
        <w:tc>
          <w:tcPr>
            <w:tcW w:w="4649" w:type="dxa"/>
          </w:tcPr>
          <w:p w14:paraId="178ACD92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45</w:t>
            </w:r>
          </w:p>
          <w:p w14:paraId="42FD11B6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This includes a contract awarded for a Lung Cancer Screening Service and multiple contracts awarded for CHC Residential and Nursing Care Home Services, Community Connectors, Wellbeing Hubs and Night Light Cafes.</w:t>
            </w:r>
          </w:p>
        </w:tc>
      </w:tr>
      <w:tr w:rsidR="00794B27" w:rsidRPr="00CC6A78" w14:paraId="670B9BA0" w14:textId="77777777" w:rsidTr="00EB39FA">
        <w:trPr>
          <w:cantSplit/>
        </w:trPr>
        <w:tc>
          <w:tcPr>
            <w:tcW w:w="4649" w:type="dxa"/>
          </w:tcPr>
          <w:p w14:paraId="0A61C765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framework agreements concluded</w:t>
            </w:r>
          </w:p>
        </w:tc>
        <w:tc>
          <w:tcPr>
            <w:tcW w:w="4649" w:type="dxa"/>
          </w:tcPr>
          <w:p w14:paraId="642B2A88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  <w:tr w:rsidR="00794B27" w:rsidRPr="00CC6A78" w14:paraId="32B12500" w14:textId="77777777" w:rsidTr="00EB39FA">
        <w:trPr>
          <w:cantSplit/>
        </w:trPr>
        <w:tc>
          <w:tcPr>
            <w:tcW w:w="4649" w:type="dxa"/>
          </w:tcPr>
          <w:p w14:paraId="435E4728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contracts awarded based on a framework agreement</w:t>
            </w:r>
          </w:p>
        </w:tc>
        <w:tc>
          <w:tcPr>
            <w:tcW w:w="4649" w:type="dxa"/>
          </w:tcPr>
          <w:p w14:paraId="12DC90F1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  <w:tr w:rsidR="00794B27" w:rsidRPr="00CC6A78" w14:paraId="7101F37B" w14:textId="77777777" w:rsidTr="00EB39FA">
        <w:trPr>
          <w:cantSplit/>
        </w:trPr>
        <w:tc>
          <w:tcPr>
            <w:tcW w:w="4649" w:type="dxa"/>
          </w:tcPr>
          <w:p w14:paraId="50E5345C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urgent contracts awarded and urgent modifications (in line with the urgent awards or contract modifications section)</w:t>
            </w:r>
          </w:p>
        </w:tc>
        <w:tc>
          <w:tcPr>
            <w:tcW w:w="4649" w:type="dxa"/>
          </w:tcPr>
          <w:p w14:paraId="04169294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  <w:tr w:rsidR="00794B27" w:rsidRPr="00CC6A78" w14:paraId="41E3BA31" w14:textId="77777777" w:rsidTr="00EB39FA">
        <w:trPr>
          <w:cantSplit/>
        </w:trPr>
        <w:tc>
          <w:tcPr>
            <w:tcW w:w="4649" w:type="dxa"/>
          </w:tcPr>
          <w:p w14:paraId="72E6ACF7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new providers awarded contracts</w:t>
            </w:r>
          </w:p>
        </w:tc>
        <w:tc>
          <w:tcPr>
            <w:tcW w:w="4649" w:type="dxa"/>
          </w:tcPr>
          <w:p w14:paraId="16868688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60</w:t>
            </w:r>
          </w:p>
        </w:tc>
      </w:tr>
      <w:tr w:rsidR="00794B27" w:rsidRPr="00CC6A78" w14:paraId="4992427E" w14:textId="77777777" w:rsidTr="00EB39FA">
        <w:trPr>
          <w:cantSplit/>
        </w:trPr>
        <w:tc>
          <w:tcPr>
            <w:tcW w:w="4649" w:type="dxa"/>
          </w:tcPr>
          <w:p w14:paraId="586AB8C6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providers who ceased to hold any contracts with the relevant authority</w:t>
            </w:r>
          </w:p>
        </w:tc>
        <w:tc>
          <w:tcPr>
            <w:tcW w:w="4649" w:type="dxa"/>
          </w:tcPr>
          <w:p w14:paraId="113F6F01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  <w:tr w:rsidR="00794B27" w:rsidRPr="00CC6A78" w14:paraId="3B6B9E66" w14:textId="77777777" w:rsidTr="00EB39FA">
        <w:trPr>
          <w:cantSplit/>
        </w:trPr>
        <w:tc>
          <w:tcPr>
            <w:tcW w:w="4649" w:type="dxa"/>
          </w:tcPr>
          <w:p w14:paraId="0B0DC068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representations received in writing and during the standstill period in accordance with Regulation 12(3)</w:t>
            </w:r>
          </w:p>
        </w:tc>
        <w:tc>
          <w:tcPr>
            <w:tcW w:w="4649" w:type="dxa"/>
          </w:tcPr>
          <w:p w14:paraId="299B0716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1</w:t>
            </w:r>
          </w:p>
        </w:tc>
      </w:tr>
      <w:tr w:rsidR="00794B27" w:rsidRPr="00CC6A78" w14:paraId="31A805E2" w14:textId="77777777" w:rsidTr="00EB39FA">
        <w:trPr>
          <w:cantSplit/>
        </w:trPr>
        <w:tc>
          <w:tcPr>
            <w:tcW w:w="4649" w:type="dxa"/>
          </w:tcPr>
          <w:p w14:paraId="2AA88CDE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lastRenderedPageBreak/>
              <w:t>Summary of the outcome of all representations received and of the nature and impact of those representations</w:t>
            </w:r>
          </w:p>
        </w:tc>
        <w:tc>
          <w:tcPr>
            <w:tcW w:w="4649" w:type="dxa"/>
          </w:tcPr>
          <w:p w14:paraId="1F30E403" w14:textId="77777777" w:rsidR="00794B27" w:rsidRPr="00CC6A78" w:rsidRDefault="00794B27" w:rsidP="00EB39FA">
            <w:pPr>
              <w:spacing w:before="60" w:after="60" w:line="276" w:lineRule="auto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 xml:space="preserve">See paragraph 8(d) above. </w:t>
            </w:r>
          </w:p>
        </w:tc>
      </w:tr>
      <w:tr w:rsidR="00794B27" w:rsidRPr="00CC6A78" w14:paraId="4DBCB70D" w14:textId="77777777" w:rsidTr="00EB39FA">
        <w:trPr>
          <w:cantSplit/>
        </w:trPr>
        <w:tc>
          <w:tcPr>
            <w:tcW w:w="4649" w:type="dxa"/>
          </w:tcPr>
          <w:p w14:paraId="15F66AD3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Total number of providers the relevant authority is currently contracted with</w:t>
            </w:r>
          </w:p>
        </w:tc>
        <w:tc>
          <w:tcPr>
            <w:tcW w:w="4649" w:type="dxa"/>
          </w:tcPr>
          <w:p w14:paraId="296CCB37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207</w:t>
            </w:r>
          </w:p>
        </w:tc>
      </w:tr>
      <w:tr w:rsidR="00794B27" w:rsidRPr="00CC6A78" w14:paraId="5362A7BA" w14:textId="77777777" w:rsidTr="00EB39FA">
        <w:trPr>
          <w:cantSplit/>
        </w:trPr>
        <w:tc>
          <w:tcPr>
            <w:tcW w:w="4649" w:type="dxa"/>
          </w:tcPr>
          <w:p w14:paraId="5BC73ECB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requests for consideration received by the Independent Patient Choice and Procurement Panel</w:t>
            </w:r>
          </w:p>
        </w:tc>
        <w:tc>
          <w:tcPr>
            <w:tcW w:w="4649" w:type="dxa"/>
          </w:tcPr>
          <w:p w14:paraId="05C0E01F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1</w:t>
            </w:r>
          </w:p>
        </w:tc>
      </w:tr>
      <w:tr w:rsidR="00794B27" w:rsidRPr="00CC6A78" w14:paraId="4A8A6143" w14:textId="77777777" w:rsidTr="00EB39FA">
        <w:trPr>
          <w:cantSplit/>
        </w:trPr>
        <w:tc>
          <w:tcPr>
            <w:tcW w:w="4649" w:type="dxa"/>
          </w:tcPr>
          <w:p w14:paraId="0AC979B1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requests accepted and rejected by the Independent Patient Choice and Procurement Panel for consideration</w:t>
            </w:r>
          </w:p>
        </w:tc>
        <w:tc>
          <w:tcPr>
            <w:tcW w:w="4649" w:type="dxa"/>
          </w:tcPr>
          <w:p w14:paraId="6E4E3D16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  <w:tr w:rsidR="00794B27" w:rsidRPr="00CC6A78" w14:paraId="67A1A988" w14:textId="77777777" w:rsidTr="00EB39FA">
        <w:trPr>
          <w:cantSplit/>
        </w:trPr>
        <w:tc>
          <w:tcPr>
            <w:tcW w:w="4649" w:type="dxa"/>
          </w:tcPr>
          <w:p w14:paraId="39C23350" w14:textId="77777777" w:rsidR="00794B27" w:rsidRPr="00F22029" w:rsidRDefault="00794B27" w:rsidP="00EB39FA">
            <w:pPr>
              <w:spacing w:before="60" w:after="60" w:line="276" w:lineRule="auto"/>
              <w:jc w:val="left"/>
              <w:rPr>
                <w:rFonts w:cs="Arial"/>
                <w:sz w:val="24"/>
                <w:szCs w:val="24"/>
              </w:rPr>
            </w:pPr>
            <w:r w:rsidRPr="00F22029">
              <w:rPr>
                <w:rFonts w:cs="Arial"/>
                <w:sz w:val="24"/>
                <w:szCs w:val="24"/>
              </w:rPr>
              <w:t>Number of times where the Independent Patient Choice and Procurement Panel advised the relevant authority to re-run or go back to an earlier step in a provider selection process under the PSR, and the number of times the advice was followed.</w:t>
            </w:r>
          </w:p>
        </w:tc>
        <w:tc>
          <w:tcPr>
            <w:tcW w:w="4649" w:type="dxa"/>
          </w:tcPr>
          <w:p w14:paraId="6A375415" w14:textId="77777777" w:rsidR="00794B27" w:rsidRPr="00CC6A78" w:rsidRDefault="00794B27" w:rsidP="00EB39FA">
            <w:pPr>
              <w:spacing w:before="60" w:after="60" w:line="276" w:lineRule="auto"/>
              <w:jc w:val="right"/>
              <w:rPr>
                <w:rFonts w:cs="Arial"/>
                <w:sz w:val="24"/>
                <w:szCs w:val="24"/>
              </w:rPr>
            </w:pPr>
            <w:r w:rsidRPr="00CC6A78">
              <w:rPr>
                <w:rFonts w:cs="Arial"/>
                <w:sz w:val="24"/>
                <w:szCs w:val="24"/>
              </w:rPr>
              <w:t>0</w:t>
            </w:r>
          </w:p>
        </w:tc>
      </w:tr>
    </w:tbl>
    <w:p w14:paraId="592D74A6" w14:textId="77777777" w:rsidR="00C86BC6" w:rsidRDefault="00C86BC6"/>
    <w:sectPr w:rsidR="00C86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06"/>
    <w:rsid w:val="002E0506"/>
    <w:rsid w:val="00794B27"/>
    <w:rsid w:val="009F7759"/>
    <w:rsid w:val="00C86BC6"/>
    <w:rsid w:val="00E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CF63C"/>
  <w15:chartTrackingRefBased/>
  <w15:docId w15:val="{66ADAC32-94F1-4340-B51F-6A2AEBBE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506"/>
    <w:pPr>
      <w:spacing w:before="200" w:after="0" w:line="280" w:lineRule="atLeast"/>
      <w:jc w:val="both"/>
    </w:pPr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50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50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50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50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50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50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50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506"/>
    <w:pPr>
      <w:keepNext/>
      <w:keepLines/>
      <w:spacing w:before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506"/>
    <w:pPr>
      <w:keepNext/>
      <w:keepLines/>
      <w:spacing w:before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506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0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506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0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50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0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506"/>
    <w:pPr>
      <w:spacing w:before="0" w:after="160" w:line="259" w:lineRule="auto"/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0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5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AR table"/>
    <w:basedOn w:val="TableNormal"/>
    <w:uiPriority w:val="59"/>
    <w:rsid w:val="002E05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ELSTON, Vickie (NHS NOTTINGHAM AND NOTTINGHAMSHIRE ICB - 52R)</dc:creator>
  <cp:keywords/>
  <dc:description/>
  <cp:lastModifiedBy>ELSTON, Vickie (NHS NOTTINGHAM AND NOTTINGHAMSHIRE ICB - 52R)</cp:lastModifiedBy>
  <cp:revision>2</cp:revision>
  <dcterms:created xsi:type="dcterms:W3CDTF">2026-07-17T14:39:00Z</dcterms:created>
  <dcterms:modified xsi:type="dcterms:W3CDTF">2026-07-17T14:39:00Z</dcterms:modified>
</cp:coreProperties>
</file>