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80645F" w14:textId="4CD4815B" w:rsidR="00C2164A" w:rsidRPr="008212B5" w:rsidRDefault="00C2164A" w:rsidP="00C2164A">
      <w:pPr>
        <w:shd w:val="clear" w:color="auto" w:fill="FFFFFF"/>
        <w:jc w:val="center"/>
        <w:rPr>
          <w:rFonts w:ascii="Arial" w:eastAsia="Times New Roman" w:hAnsi="Arial" w:cs="Arial"/>
          <w:b/>
          <w:bCs/>
          <w:color w:val="111111"/>
          <w:spacing w:val="6"/>
          <w:u w:val="single"/>
          <w:lang w:eastAsia="en-GB"/>
        </w:rPr>
      </w:pPr>
      <w:r w:rsidRPr="008212B5">
        <w:rPr>
          <w:rFonts w:ascii="Arial" w:eastAsia="Times New Roman" w:hAnsi="Arial" w:cs="Arial"/>
          <w:b/>
          <w:bCs/>
          <w:color w:val="111111"/>
          <w:spacing w:val="6"/>
          <w:u w:val="single"/>
          <w:lang w:eastAsia="en-GB"/>
        </w:rPr>
        <w:t xml:space="preserve">FOI 70538 – Lincolnshire Local Enhanced Services List </w:t>
      </w:r>
    </w:p>
    <w:p w14:paraId="58FBCAD4" w14:textId="77777777" w:rsidR="00C2164A" w:rsidRDefault="00C2164A" w:rsidP="00C2164A">
      <w:pPr>
        <w:shd w:val="clear" w:color="auto" w:fill="FFFFFF"/>
        <w:rPr>
          <w:rFonts w:ascii="Arial" w:eastAsia="Times New Roman" w:hAnsi="Arial" w:cs="Arial"/>
          <w:color w:val="111111"/>
          <w:spacing w:val="6"/>
          <w:lang w:eastAsia="en-GB"/>
        </w:rPr>
      </w:pPr>
    </w:p>
    <w:p w14:paraId="10F2AB83" w14:textId="77777777" w:rsidR="00C2164A" w:rsidRDefault="00C2164A" w:rsidP="00C2164A">
      <w:pPr>
        <w:shd w:val="clear" w:color="auto" w:fill="FFFFFF"/>
        <w:jc w:val="both"/>
        <w:rPr>
          <w:rFonts w:ascii="Arial" w:eastAsia="Times New Roman" w:hAnsi="Arial" w:cs="Arial"/>
          <w:color w:val="111111"/>
          <w:spacing w:val="6"/>
          <w:lang w:eastAsia="en-GB"/>
        </w:rPr>
      </w:pPr>
    </w:p>
    <w:p w14:paraId="62CF2ED5" w14:textId="39262008" w:rsidR="00C2164A" w:rsidRPr="006777EA" w:rsidRDefault="00C2164A" w:rsidP="006777EA">
      <w:pPr>
        <w:shd w:val="clear" w:color="auto" w:fill="FFFFFF"/>
        <w:jc w:val="both"/>
        <w:rPr>
          <w:rFonts w:ascii="Arial" w:eastAsia="Times New Roman" w:hAnsi="Arial" w:cs="Arial"/>
          <w:color w:val="111111"/>
          <w:spacing w:val="6"/>
          <w:lang w:eastAsia="en-GB"/>
        </w:rPr>
      </w:pPr>
      <w:r w:rsidRPr="006777EA">
        <w:rPr>
          <w:rFonts w:ascii="Arial" w:eastAsia="Times New Roman" w:hAnsi="Arial" w:cs="Arial"/>
          <w:color w:val="111111"/>
          <w:spacing w:val="6"/>
          <w:lang w:eastAsia="en-GB"/>
        </w:rPr>
        <w:t xml:space="preserve">Enhanced services are defined as primary medical services that are not considered to be essential services, additional services or out-of-hours services. </w:t>
      </w:r>
      <w:r w:rsidR="000B5913" w:rsidRPr="006777EA">
        <w:rPr>
          <w:rFonts w:ascii="Arial" w:eastAsia="Times New Roman" w:hAnsi="Arial" w:cs="Arial"/>
          <w:color w:val="111111"/>
          <w:spacing w:val="6"/>
          <w:lang w:eastAsia="en-GB"/>
        </w:rPr>
        <w:t xml:space="preserve"> </w:t>
      </w:r>
      <w:r w:rsidRPr="006777EA">
        <w:rPr>
          <w:rFonts w:ascii="Arial" w:eastAsia="Times New Roman" w:hAnsi="Arial" w:cs="Arial"/>
          <w:color w:val="111111"/>
          <w:spacing w:val="6"/>
          <w:lang w:eastAsia="en-GB"/>
        </w:rPr>
        <w:t xml:space="preserve">Local Enhanced Services </w:t>
      </w:r>
      <w:r w:rsidR="000B5913" w:rsidRPr="006777EA">
        <w:rPr>
          <w:rFonts w:ascii="Arial" w:eastAsia="Times New Roman" w:hAnsi="Arial" w:cs="Arial"/>
          <w:color w:val="111111"/>
          <w:spacing w:val="6"/>
          <w:lang w:eastAsia="en-GB"/>
        </w:rPr>
        <w:t xml:space="preserve">supplement </w:t>
      </w:r>
      <w:r w:rsidRPr="006777EA">
        <w:rPr>
          <w:rFonts w:ascii="Arial" w:eastAsia="Times New Roman" w:hAnsi="Arial" w:cs="Arial"/>
          <w:color w:val="111111"/>
          <w:spacing w:val="6"/>
          <w:lang w:eastAsia="en-GB"/>
        </w:rPr>
        <w:t>services already offered</w:t>
      </w:r>
      <w:r w:rsidR="000B5913" w:rsidRPr="006777EA">
        <w:rPr>
          <w:rFonts w:ascii="Arial" w:eastAsia="Times New Roman" w:hAnsi="Arial" w:cs="Arial"/>
          <w:color w:val="111111"/>
          <w:spacing w:val="6"/>
          <w:lang w:eastAsia="en-GB"/>
        </w:rPr>
        <w:t xml:space="preserve"> </w:t>
      </w:r>
      <w:r w:rsidR="00A976ED" w:rsidRPr="006777EA">
        <w:rPr>
          <w:rFonts w:ascii="Arial" w:eastAsia="Times New Roman" w:hAnsi="Arial" w:cs="Arial"/>
          <w:color w:val="111111"/>
          <w:spacing w:val="6"/>
          <w:lang w:eastAsia="en-GB"/>
        </w:rPr>
        <w:t xml:space="preserve">/ included as part of </w:t>
      </w:r>
      <w:r w:rsidRPr="006777EA">
        <w:rPr>
          <w:rFonts w:ascii="Arial" w:eastAsia="Times New Roman" w:hAnsi="Arial" w:cs="Arial"/>
          <w:color w:val="111111"/>
          <w:spacing w:val="6"/>
          <w:lang w:eastAsia="en-GB"/>
        </w:rPr>
        <w:t>the core practice contract.</w:t>
      </w:r>
    </w:p>
    <w:p w14:paraId="055E7FD0" w14:textId="06A7A52E" w:rsidR="00C2164A" w:rsidRPr="006777EA" w:rsidRDefault="00C2164A" w:rsidP="006777EA">
      <w:pPr>
        <w:jc w:val="both"/>
        <w:rPr>
          <w:rFonts w:ascii="Arial" w:hAnsi="Arial" w:cs="Arial"/>
          <w:b/>
          <w:bCs/>
        </w:rPr>
      </w:pPr>
    </w:p>
    <w:p w14:paraId="68789A1E" w14:textId="55AA1DA6" w:rsidR="00A976ED" w:rsidRPr="006777EA" w:rsidRDefault="00A976ED" w:rsidP="006777EA">
      <w:pPr>
        <w:jc w:val="both"/>
        <w:rPr>
          <w:rFonts w:ascii="Arial" w:hAnsi="Arial" w:cs="Arial"/>
        </w:rPr>
      </w:pPr>
      <w:r w:rsidRPr="006777EA">
        <w:rPr>
          <w:rFonts w:ascii="Arial" w:hAnsi="Arial" w:cs="Arial"/>
        </w:rPr>
        <w:t xml:space="preserve">The list of services below is all services that are currently contracted.  Not </w:t>
      </w:r>
      <w:proofErr w:type="gramStart"/>
      <w:r w:rsidRPr="006777EA">
        <w:rPr>
          <w:rFonts w:ascii="Arial" w:hAnsi="Arial" w:cs="Arial"/>
        </w:rPr>
        <w:t>all of</w:t>
      </w:r>
      <w:proofErr w:type="gramEnd"/>
      <w:r w:rsidRPr="006777EA">
        <w:rPr>
          <w:rFonts w:ascii="Arial" w:hAnsi="Arial" w:cs="Arial"/>
        </w:rPr>
        <w:t xml:space="preserve"> these services continue to be offered to providers as new contracts.  Not all practices / providers offer the full list as they have the option of choosing which services to deliver.  </w:t>
      </w:r>
    </w:p>
    <w:p w14:paraId="7ABB0DE2" w14:textId="77777777" w:rsidR="00A976ED" w:rsidRPr="00A976ED" w:rsidRDefault="00A976ED" w:rsidP="00C2164A"/>
    <w:p w14:paraId="371BC1AE" w14:textId="599336D0" w:rsidR="00C2164A" w:rsidRPr="008212B5" w:rsidRDefault="000B5913" w:rsidP="00C2164A">
      <w:pPr>
        <w:rPr>
          <w:rFonts w:ascii="Arial" w:hAnsi="Arial" w:cs="Arial"/>
          <w:b/>
          <w:bCs/>
          <w:u w:val="single"/>
        </w:rPr>
      </w:pPr>
      <w:r w:rsidRPr="008212B5">
        <w:rPr>
          <w:rFonts w:ascii="Arial" w:hAnsi="Arial" w:cs="Arial"/>
          <w:b/>
          <w:bCs/>
          <w:u w:val="single"/>
        </w:rPr>
        <w:t>Commissioned as single services</w:t>
      </w:r>
    </w:p>
    <w:p w14:paraId="7FAABFB9" w14:textId="77777777" w:rsidR="001C43F6" w:rsidRPr="008212B5" w:rsidRDefault="001C43F6" w:rsidP="00C2164A">
      <w:pPr>
        <w:rPr>
          <w:rFonts w:ascii="Arial" w:hAnsi="Arial" w:cs="Arial"/>
          <w:b/>
          <w:bCs/>
          <w:u w:val="single"/>
        </w:rPr>
      </w:pPr>
    </w:p>
    <w:p w14:paraId="0424E2AB" w14:textId="6DFE3CEC" w:rsidR="001C43F6" w:rsidRDefault="001C43F6" w:rsidP="001C43F6">
      <w:pPr>
        <w:jc w:val="both"/>
        <w:rPr>
          <w:rFonts w:ascii="Arial" w:hAnsi="Arial" w:cs="Arial"/>
          <w:szCs w:val="24"/>
        </w:rPr>
      </w:pPr>
      <w:r w:rsidRPr="001C43F6">
        <w:rPr>
          <w:rFonts w:ascii="Arial" w:hAnsi="Arial" w:cs="Arial"/>
          <w:b/>
          <w:bCs/>
        </w:rPr>
        <w:t xml:space="preserve">Administration of </w:t>
      </w:r>
      <w:proofErr w:type="spellStart"/>
      <w:r w:rsidR="00C2164A" w:rsidRPr="001C43F6">
        <w:rPr>
          <w:rFonts w:ascii="Arial" w:hAnsi="Arial" w:cs="Arial"/>
          <w:b/>
          <w:bCs/>
        </w:rPr>
        <w:t>Gonadorelins</w:t>
      </w:r>
      <w:proofErr w:type="spellEnd"/>
      <w:r w:rsidR="00C2164A" w:rsidRPr="000B5913">
        <w:rPr>
          <w:rFonts w:ascii="Arial" w:hAnsi="Arial" w:cs="Arial"/>
        </w:rPr>
        <w:t xml:space="preserve"> </w:t>
      </w:r>
      <w:r>
        <w:rPr>
          <w:rFonts w:ascii="Arial" w:hAnsi="Arial" w:cs="Arial"/>
        </w:rPr>
        <w:t xml:space="preserve">– This was </w:t>
      </w:r>
      <w:r>
        <w:rPr>
          <w:rFonts w:ascii="Arial" w:eastAsia="Arial" w:hAnsi="Arial" w:cs="Arial"/>
          <w:spacing w:val="-4"/>
          <w:szCs w:val="24"/>
          <w:lang w:val="en-US"/>
        </w:rPr>
        <w:t xml:space="preserve">previously a predominantly </w:t>
      </w:r>
      <w:proofErr w:type="gramStart"/>
      <w:r>
        <w:rPr>
          <w:rFonts w:ascii="Arial" w:eastAsia="Arial" w:hAnsi="Arial" w:cs="Arial"/>
          <w:spacing w:val="-4"/>
          <w:szCs w:val="24"/>
          <w:lang w:val="en-US"/>
        </w:rPr>
        <w:t>hospital based</w:t>
      </w:r>
      <w:proofErr w:type="gramEnd"/>
      <w:r>
        <w:rPr>
          <w:rFonts w:ascii="Arial" w:eastAsia="Arial" w:hAnsi="Arial" w:cs="Arial"/>
          <w:spacing w:val="-4"/>
          <w:szCs w:val="24"/>
          <w:lang w:val="en-US"/>
        </w:rPr>
        <w:t xml:space="preserve"> treatment, providing it in primary care has significant benefits to patients.  This service covers the following areas: </w:t>
      </w:r>
    </w:p>
    <w:p w14:paraId="16187937" w14:textId="77777777" w:rsidR="001C43F6" w:rsidRPr="006777EA" w:rsidRDefault="001C43F6" w:rsidP="001C43F6">
      <w:pPr>
        <w:pStyle w:val="ListParagraph"/>
        <w:numPr>
          <w:ilvl w:val="0"/>
          <w:numId w:val="3"/>
        </w:numPr>
        <w:jc w:val="both"/>
        <w:rPr>
          <w:rFonts w:ascii="Arial" w:eastAsia="Times New Roman" w:hAnsi="Arial" w:cs="Arial"/>
          <w:snapToGrid w:val="0"/>
          <w:szCs w:val="24"/>
          <w:lang w:eastAsia="en-GB"/>
        </w:rPr>
      </w:pPr>
      <w:r w:rsidRPr="006777EA">
        <w:rPr>
          <w:rFonts w:ascii="Arial" w:eastAsia="Times New Roman" w:hAnsi="Arial" w:cs="Arial"/>
          <w:snapToGrid w:val="0"/>
          <w:szCs w:val="24"/>
          <w:lang w:eastAsia="en-GB"/>
        </w:rPr>
        <w:t>Prostate Cancer - patients with an established diagnosis of carcinoma of prostate.</w:t>
      </w:r>
    </w:p>
    <w:p w14:paraId="43EEE435" w14:textId="77777777" w:rsidR="001C43F6" w:rsidRPr="006777EA" w:rsidRDefault="001C43F6" w:rsidP="001C43F6">
      <w:pPr>
        <w:pStyle w:val="ListParagraph"/>
        <w:numPr>
          <w:ilvl w:val="0"/>
          <w:numId w:val="3"/>
        </w:numPr>
        <w:jc w:val="both"/>
        <w:rPr>
          <w:rFonts w:ascii="Arial" w:eastAsia="Times New Roman" w:hAnsi="Arial" w:cs="Arial"/>
          <w:snapToGrid w:val="0"/>
          <w:szCs w:val="24"/>
          <w:lang w:eastAsia="en-GB"/>
        </w:rPr>
      </w:pPr>
      <w:r w:rsidRPr="006777EA">
        <w:rPr>
          <w:rFonts w:ascii="Arial" w:eastAsia="Times New Roman" w:hAnsi="Arial" w:cs="Arial"/>
          <w:snapToGrid w:val="0"/>
          <w:szCs w:val="24"/>
          <w:lang w:eastAsia="en-GB"/>
        </w:rPr>
        <w:t>Endometriosis - patients with an established diagnosis of endometriosis, or pelvic pathology under the recommendation of a consultant.</w:t>
      </w:r>
    </w:p>
    <w:p w14:paraId="3EB5AC0E" w14:textId="77777777" w:rsidR="001C43F6" w:rsidRDefault="001C43F6" w:rsidP="001C43F6">
      <w:pPr>
        <w:pStyle w:val="ListParagraph"/>
        <w:numPr>
          <w:ilvl w:val="0"/>
          <w:numId w:val="3"/>
        </w:numPr>
        <w:jc w:val="both"/>
        <w:rPr>
          <w:rFonts w:ascii="Arial" w:eastAsia="Times New Roman" w:hAnsi="Arial" w:cs="Arial"/>
          <w:b/>
          <w:bCs/>
          <w:snapToGrid w:val="0"/>
          <w:szCs w:val="24"/>
          <w:lang w:eastAsia="en-GB"/>
        </w:rPr>
      </w:pPr>
      <w:r w:rsidRPr="006777EA">
        <w:rPr>
          <w:rFonts w:ascii="Arial" w:eastAsia="Times New Roman" w:hAnsi="Arial" w:cs="Arial"/>
          <w:snapToGrid w:val="0"/>
          <w:szCs w:val="24"/>
          <w:lang w:eastAsia="en-GB"/>
        </w:rPr>
        <w:t>Breast Cancer</w:t>
      </w:r>
      <w:r>
        <w:rPr>
          <w:rFonts w:ascii="Arial" w:eastAsia="Times New Roman" w:hAnsi="Arial" w:cs="Arial"/>
          <w:b/>
          <w:bCs/>
          <w:snapToGrid w:val="0"/>
          <w:szCs w:val="24"/>
          <w:lang w:eastAsia="en-GB"/>
        </w:rPr>
        <w:t xml:space="preserve"> - </w:t>
      </w:r>
      <w:r>
        <w:rPr>
          <w:rFonts w:ascii="Arial" w:eastAsia="Times New Roman" w:hAnsi="Arial" w:cs="Arial"/>
          <w:snapToGrid w:val="0"/>
          <w:szCs w:val="24"/>
          <w:lang w:eastAsia="en-GB"/>
        </w:rPr>
        <w:t xml:space="preserve">patients with an established diagnosis of </w:t>
      </w:r>
      <w:proofErr w:type="spellStart"/>
      <w:r>
        <w:rPr>
          <w:rFonts w:ascii="Arial" w:eastAsia="Times New Roman" w:hAnsi="Arial" w:cs="Arial"/>
          <w:snapToGrid w:val="0"/>
          <w:szCs w:val="24"/>
          <w:lang w:eastAsia="en-GB"/>
        </w:rPr>
        <w:t>ER+ve</w:t>
      </w:r>
      <w:proofErr w:type="spellEnd"/>
      <w:r>
        <w:rPr>
          <w:rFonts w:ascii="Arial" w:eastAsia="Times New Roman" w:hAnsi="Arial" w:cs="Arial"/>
          <w:snapToGrid w:val="0"/>
          <w:szCs w:val="24"/>
          <w:lang w:eastAsia="en-GB"/>
        </w:rPr>
        <w:t xml:space="preserve"> Breast cancer in </w:t>
      </w:r>
      <w:proofErr w:type="gramStart"/>
      <w:r>
        <w:rPr>
          <w:rFonts w:ascii="Arial" w:eastAsia="Times New Roman" w:hAnsi="Arial" w:cs="Arial"/>
          <w:snapToGrid w:val="0"/>
          <w:szCs w:val="24"/>
          <w:lang w:eastAsia="en-GB"/>
        </w:rPr>
        <w:t>pre</w:t>
      </w:r>
      <w:proofErr w:type="gramEnd"/>
      <w:r>
        <w:rPr>
          <w:rFonts w:ascii="Arial" w:eastAsia="Times New Roman" w:hAnsi="Arial" w:cs="Arial"/>
          <w:snapToGrid w:val="0"/>
          <w:szCs w:val="24"/>
          <w:lang w:eastAsia="en-GB"/>
        </w:rPr>
        <w:t xml:space="preserve"> or peri-menopausal woman, who have chosen not to have chemotherapy.</w:t>
      </w:r>
    </w:p>
    <w:p w14:paraId="5A967704" w14:textId="77777777" w:rsidR="001C43F6" w:rsidRDefault="001C43F6" w:rsidP="001C43F6">
      <w:pPr>
        <w:pStyle w:val="ListParagraph"/>
        <w:ind w:left="0"/>
        <w:jc w:val="both"/>
        <w:rPr>
          <w:rFonts w:ascii="Arial" w:hAnsi="Arial" w:cs="Arial"/>
        </w:rPr>
      </w:pPr>
    </w:p>
    <w:p w14:paraId="62BE2543" w14:textId="0418291F" w:rsidR="001C43F6" w:rsidRDefault="00C2164A" w:rsidP="001C43F6">
      <w:pPr>
        <w:jc w:val="both"/>
        <w:rPr>
          <w:rFonts w:ascii="Arial" w:hAnsi="Arial" w:cs="Arial"/>
        </w:rPr>
      </w:pPr>
      <w:r w:rsidRPr="001C43F6">
        <w:rPr>
          <w:rFonts w:ascii="Arial" w:hAnsi="Arial" w:cs="Arial"/>
          <w:b/>
          <w:bCs/>
        </w:rPr>
        <w:t>Leg Ulcer</w:t>
      </w:r>
      <w:r w:rsidR="001C43F6" w:rsidRPr="001C43F6">
        <w:rPr>
          <w:rFonts w:ascii="Arial" w:hAnsi="Arial" w:cs="Arial"/>
          <w:b/>
          <w:bCs/>
        </w:rPr>
        <w:t>s</w:t>
      </w:r>
      <w:r w:rsidRPr="000B5913">
        <w:rPr>
          <w:rFonts w:ascii="Arial" w:hAnsi="Arial" w:cs="Arial"/>
        </w:rPr>
        <w:t xml:space="preserve"> </w:t>
      </w:r>
      <w:r w:rsidR="001C43F6">
        <w:rPr>
          <w:rFonts w:ascii="Arial" w:hAnsi="Arial" w:cs="Arial"/>
        </w:rPr>
        <w:t xml:space="preserve">- A treatment service which also provides advice on prevention care and advice.  An aim to improve local symptoms such as pain, exudate, </w:t>
      </w:r>
      <w:proofErr w:type="gramStart"/>
      <w:r w:rsidR="001C43F6">
        <w:rPr>
          <w:rFonts w:ascii="Arial" w:hAnsi="Arial" w:cs="Arial"/>
        </w:rPr>
        <w:t>odour</w:t>
      </w:r>
      <w:proofErr w:type="gramEnd"/>
      <w:r w:rsidR="001C43F6">
        <w:rPr>
          <w:rFonts w:ascii="Arial" w:hAnsi="Arial" w:cs="Arial"/>
        </w:rPr>
        <w:t xml:space="preserve"> and healing rates.</w:t>
      </w:r>
    </w:p>
    <w:p w14:paraId="5F22D17D" w14:textId="77777777" w:rsidR="001C43F6" w:rsidRDefault="001C43F6" w:rsidP="001C43F6">
      <w:pPr>
        <w:jc w:val="both"/>
        <w:rPr>
          <w:rFonts w:ascii="Arial" w:hAnsi="Arial" w:cs="Arial"/>
        </w:rPr>
      </w:pPr>
    </w:p>
    <w:p w14:paraId="407D59BC" w14:textId="4D23E1B1" w:rsidR="00C2164A" w:rsidRPr="000B5913" w:rsidRDefault="00C2164A" w:rsidP="001C43F6">
      <w:pPr>
        <w:jc w:val="both"/>
        <w:rPr>
          <w:rFonts w:ascii="Arial" w:hAnsi="Arial" w:cs="Arial"/>
        </w:rPr>
      </w:pPr>
      <w:r w:rsidRPr="001C43F6">
        <w:rPr>
          <w:rFonts w:ascii="Arial" w:hAnsi="Arial" w:cs="Arial"/>
          <w:b/>
          <w:bCs/>
        </w:rPr>
        <w:t>Minor Injuries</w:t>
      </w:r>
      <w:r w:rsidR="00C619EF">
        <w:rPr>
          <w:rFonts w:ascii="Arial" w:hAnsi="Arial" w:cs="Arial"/>
        </w:rPr>
        <w:t xml:space="preserve"> - </w:t>
      </w:r>
      <w:r w:rsidR="001C43F6">
        <w:rPr>
          <w:rFonts w:ascii="Arial" w:hAnsi="Arial" w:cs="Arial"/>
        </w:rPr>
        <w:t>T</w:t>
      </w:r>
      <w:r w:rsidR="00C619EF">
        <w:rPr>
          <w:rFonts w:ascii="Arial" w:eastAsia="Arial" w:hAnsi="Arial" w:cs="Arial"/>
          <w:szCs w:val="24"/>
          <w:lang w:val="en-US"/>
        </w:rPr>
        <w:t>he treatment of an injury or wound, that has happened within 48 hours</w:t>
      </w:r>
      <w:r w:rsidR="001C43F6">
        <w:rPr>
          <w:rFonts w:ascii="Arial" w:eastAsia="Arial" w:hAnsi="Arial" w:cs="Arial"/>
          <w:szCs w:val="24"/>
          <w:lang w:val="en-US"/>
        </w:rPr>
        <w:t xml:space="preserve">, </w:t>
      </w:r>
      <w:r w:rsidR="00C619EF">
        <w:rPr>
          <w:rFonts w:ascii="Arial" w:eastAsia="Arial" w:hAnsi="Arial" w:cs="Arial"/>
          <w:szCs w:val="24"/>
          <w:lang w:val="en-US"/>
        </w:rPr>
        <w:t>cases are generally self-presenting “walking wounded”</w:t>
      </w:r>
      <w:r w:rsidR="00CA76A7">
        <w:rPr>
          <w:rFonts w:ascii="Arial" w:eastAsia="Arial" w:hAnsi="Arial" w:cs="Arial"/>
          <w:szCs w:val="24"/>
          <w:lang w:val="en-US"/>
        </w:rPr>
        <w:t>.  A</w:t>
      </w:r>
      <w:r w:rsidR="00C619EF">
        <w:rPr>
          <w:rFonts w:ascii="Arial" w:eastAsia="Arial" w:hAnsi="Arial" w:cs="Arial"/>
          <w:szCs w:val="24"/>
          <w:lang w:val="en-US"/>
        </w:rPr>
        <w:t xml:space="preserve">mbulance cases are not usually accepted </w:t>
      </w:r>
      <w:r w:rsidR="00CA76A7">
        <w:rPr>
          <w:rFonts w:ascii="Arial" w:eastAsia="Arial" w:hAnsi="Arial" w:cs="Arial"/>
          <w:szCs w:val="24"/>
          <w:lang w:val="en-US"/>
        </w:rPr>
        <w:t xml:space="preserve">unless by </w:t>
      </w:r>
      <w:r w:rsidR="00C619EF">
        <w:rPr>
          <w:rFonts w:ascii="Arial" w:eastAsia="Arial" w:hAnsi="Arial" w:cs="Arial"/>
          <w:szCs w:val="24"/>
          <w:lang w:val="en-US"/>
        </w:rPr>
        <w:t>prior agreement between the doctor and the attending ambulance personnel.</w:t>
      </w:r>
    </w:p>
    <w:p w14:paraId="3C1714B4" w14:textId="77777777" w:rsidR="00CA76A7" w:rsidRDefault="00CA76A7" w:rsidP="00CA76A7">
      <w:pPr>
        <w:pStyle w:val="ListParagraph"/>
        <w:ind w:left="360"/>
        <w:rPr>
          <w:rFonts w:ascii="Arial" w:hAnsi="Arial" w:cs="Arial"/>
        </w:rPr>
      </w:pPr>
    </w:p>
    <w:p w14:paraId="531449C2" w14:textId="56C13270" w:rsidR="00CA76A7" w:rsidRDefault="00C2164A" w:rsidP="00CA76A7">
      <w:pPr>
        <w:pStyle w:val="ListParagraph"/>
        <w:ind w:left="0"/>
        <w:rPr>
          <w:rFonts w:ascii="Arial" w:eastAsia="Arial" w:hAnsi="Arial" w:cs="Arial"/>
          <w:spacing w:val="-4"/>
          <w:szCs w:val="24"/>
          <w:lang w:val="en-US"/>
        </w:rPr>
      </w:pPr>
      <w:r w:rsidRPr="00CA76A7">
        <w:rPr>
          <w:rFonts w:ascii="Arial" w:hAnsi="Arial" w:cs="Arial"/>
          <w:b/>
          <w:bCs/>
        </w:rPr>
        <w:t>Phlebotomy</w:t>
      </w:r>
      <w:r w:rsidR="00C619EF">
        <w:rPr>
          <w:rFonts w:ascii="Arial" w:hAnsi="Arial" w:cs="Arial"/>
        </w:rPr>
        <w:t xml:space="preserve"> </w:t>
      </w:r>
      <w:r w:rsidR="00CA76A7">
        <w:rPr>
          <w:rFonts w:ascii="Arial" w:hAnsi="Arial" w:cs="Arial"/>
        </w:rPr>
        <w:t>–</w:t>
      </w:r>
      <w:r w:rsidR="00C619EF">
        <w:rPr>
          <w:rFonts w:ascii="Arial" w:hAnsi="Arial" w:cs="Arial"/>
        </w:rPr>
        <w:t xml:space="preserve"> </w:t>
      </w:r>
      <w:r w:rsidR="00CA76A7">
        <w:rPr>
          <w:rFonts w:ascii="Arial" w:hAnsi="Arial" w:cs="Arial"/>
        </w:rPr>
        <w:t xml:space="preserve">This covers </w:t>
      </w:r>
      <w:proofErr w:type="gramStart"/>
      <w:r w:rsidR="00CA76A7">
        <w:rPr>
          <w:rFonts w:ascii="Arial" w:hAnsi="Arial" w:cs="Arial"/>
        </w:rPr>
        <w:t xml:space="preserve">the majority </w:t>
      </w:r>
      <w:r w:rsidR="00C619EF">
        <w:rPr>
          <w:rFonts w:ascii="Arial" w:eastAsia="Arial" w:hAnsi="Arial" w:cs="Arial"/>
          <w:spacing w:val="-4"/>
          <w:szCs w:val="24"/>
          <w:lang w:val="en-US"/>
        </w:rPr>
        <w:t>of</w:t>
      </w:r>
      <w:proofErr w:type="gramEnd"/>
      <w:r w:rsidR="00C619EF">
        <w:rPr>
          <w:rFonts w:ascii="Arial" w:eastAsia="Arial" w:hAnsi="Arial" w:cs="Arial"/>
          <w:spacing w:val="-4"/>
          <w:szCs w:val="24"/>
          <w:lang w:val="en-US"/>
        </w:rPr>
        <w:t xml:space="preserve"> blood sampling for investigations and follow up arising from the management of patients in primary care.  </w:t>
      </w:r>
      <w:r w:rsidR="00CA76A7">
        <w:rPr>
          <w:rFonts w:ascii="Arial" w:eastAsia="Arial" w:hAnsi="Arial" w:cs="Arial"/>
          <w:spacing w:val="-4"/>
          <w:szCs w:val="24"/>
          <w:lang w:val="en-US"/>
        </w:rPr>
        <w:t xml:space="preserve">Includes domiciliary care for housebound.  </w:t>
      </w:r>
    </w:p>
    <w:p w14:paraId="6044AA0B" w14:textId="77777777" w:rsidR="00CA76A7" w:rsidRDefault="00CA76A7" w:rsidP="00CA76A7">
      <w:pPr>
        <w:pStyle w:val="ListParagraph"/>
        <w:ind w:left="0"/>
        <w:rPr>
          <w:rFonts w:ascii="Arial" w:eastAsia="Arial" w:hAnsi="Arial" w:cs="Arial"/>
          <w:spacing w:val="-4"/>
          <w:szCs w:val="24"/>
          <w:lang w:val="en-US"/>
        </w:rPr>
      </w:pPr>
    </w:p>
    <w:p w14:paraId="74E93A56" w14:textId="3F6B2D06" w:rsidR="001C43F6" w:rsidRDefault="00C2164A" w:rsidP="001C43F6">
      <w:pPr>
        <w:widowControl w:val="0"/>
        <w:tabs>
          <w:tab w:val="left" w:pos="567"/>
          <w:tab w:val="left" w:pos="838"/>
        </w:tabs>
        <w:ind w:right="113"/>
        <w:jc w:val="both"/>
        <w:rPr>
          <w:rFonts w:ascii="Arial" w:eastAsia="Arial" w:hAnsi="Arial" w:cs="Arial"/>
          <w:szCs w:val="24"/>
          <w:lang w:val="en-US"/>
        </w:rPr>
      </w:pPr>
      <w:r w:rsidRPr="00CA76A7">
        <w:rPr>
          <w:rFonts w:ascii="Arial" w:hAnsi="Arial" w:cs="Arial"/>
          <w:b/>
          <w:bCs/>
        </w:rPr>
        <w:t>Ring &amp; Vault</w:t>
      </w:r>
      <w:r w:rsidR="00CA76A7" w:rsidRPr="00CA76A7">
        <w:rPr>
          <w:rFonts w:ascii="Arial" w:hAnsi="Arial" w:cs="Arial"/>
          <w:b/>
          <w:bCs/>
        </w:rPr>
        <w:t xml:space="preserve"> (Pessary)</w:t>
      </w:r>
      <w:r w:rsidR="001C43F6">
        <w:rPr>
          <w:rFonts w:ascii="Arial" w:hAnsi="Arial" w:cs="Arial"/>
        </w:rPr>
        <w:t xml:space="preserve"> - </w:t>
      </w:r>
      <w:r w:rsidR="00CA76A7">
        <w:rPr>
          <w:rFonts w:ascii="Arial" w:hAnsi="Arial" w:cs="Arial"/>
        </w:rPr>
        <w:t>Provision of</w:t>
      </w:r>
      <w:r w:rsidR="001C43F6">
        <w:rPr>
          <w:rFonts w:ascii="Arial" w:eastAsia="Arial" w:hAnsi="Arial" w:cs="Arial"/>
          <w:szCs w:val="24"/>
          <w:lang w:val="en-US"/>
        </w:rPr>
        <w:t xml:space="preserve"> an alternative</w:t>
      </w:r>
      <w:r w:rsidR="00CA76A7">
        <w:rPr>
          <w:rFonts w:ascii="Arial" w:eastAsia="Arial" w:hAnsi="Arial" w:cs="Arial"/>
          <w:szCs w:val="24"/>
          <w:lang w:val="en-US"/>
        </w:rPr>
        <w:t xml:space="preserve"> treatment</w:t>
      </w:r>
      <w:r w:rsidR="001C43F6">
        <w:rPr>
          <w:rFonts w:ascii="Arial" w:eastAsia="Arial" w:hAnsi="Arial" w:cs="Arial"/>
          <w:szCs w:val="24"/>
          <w:lang w:val="en-US"/>
        </w:rPr>
        <w:t xml:space="preserve"> to surgical </w:t>
      </w:r>
      <w:r w:rsidR="00CA76A7">
        <w:rPr>
          <w:rFonts w:ascii="Arial" w:eastAsia="Arial" w:hAnsi="Arial" w:cs="Arial"/>
          <w:szCs w:val="24"/>
          <w:lang w:val="en-US"/>
        </w:rPr>
        <w:t xml:space="preserve">intervention </w:t>
      </w:r>
      <w:r w:rsidR="001C43F6">
        <w:rPr>
          <w:rFonts w:ascii="Arial" w:eastAsia="Arial" w:hAnsi="Arial" w:cs="Arial"/>
          <w:szCs w:val="24"/>
          <w:lang w:val="en-US"/>
        </w:rPr>
        <w:t>for patients with symptomatic vaginal prolapse.  The service will be provided in the following:</w:t>
      </w:r>
    </w:p>
    <w:p w14:paraId="326FEA22" w14:textId="77777777" w:rsidR="001C43F6" w:rsidRDefault="001C43F6" w:rsidP="001C43F6">
      <w:pPr>
        <w:pStyle w:val="ListParagraph"/>
        <w:widowControl w:val="0"/>
        <w:numPr>
          <w:ilvl w:val="0"/>
          <w:numId w:val="4"/>
        </w:numPr>
        <w:tabs>
          <w:tab w:val="left" w:pos="838"/>
        </w:tabs>
        <w:ind w:right="113"/>
        <w:jc w:val="both"/>
        <w:rPr>
          <w:rFonts w:ascii="Arial" w:eastAsia="Arial" w:hAnsi="Arial" w:cs="Arial"/>
          <w:lang w:val="en-US"/>
        </w:rPr>
      </w:pPr>
      <w:r>
        <w:rPr>
          <w:rFonts w:ascii="Arial" w:eastAsia="Arial" w:hAnsi="Arial" w:cs="Arial"/>
          <w:lang w:val="en-US"/>
        </w:rPr>
        <w:t>Permanent use in patients in whom surgery is contraindicated or patients who refuse surgery.</w:t>
      </w:r>
    </w:p>
    <w:p w14:paraId="0A75DB9E" w14:textId="77777777" w:rsidR="001C43F6" w:rsidRDefault="001C43F6" w:rsidP="001C43F6">
      <w:pPr>
        <w:pStyle w:val="ListParagraph"/>
        <w:widowControl w:val="0"/>
        <w:numPr>
          <w:ilvl w:val="0"/>
          <w:numId w:val="4"/>
        </w:numPr>
        <w:tabs>
          <w:tab w:val="left" w:pos="838"/>
        </w:tabs>
        <w:ind w:right="113"/>
        <w:jc w:val="both"/>
        <w:rPr>
          <w:rFonts w:ascii="Arial" w:eastAsia="Arial" w:hAnsi="Arial" w:cs="Arial"/>
          <w:lang w:val="en-US"/>
        </w:rPr>
      </w:pPr>
      <w:r>
        <w:rPr>
          <w:rFonts w:ascii="Arial" w:eastAsia="Arial" w:hAnsi="Arial" w:cs="Arial"/>
          <w:lang w:val="en-US"/>
        </w:rPr>
        <w:t xml:space="preserve">Temporary use in patients who are awaiting surgical intervention or in patients whose prolapse is likely to resolve spontaneously, </w:t>
      </w:r>
      <w:proofErr w:type="gramStart"/>
      <w:r>
        <w:rPr>
          <w:rFonts w:ascii="Arial" w:eastAsia="Arial" w:hAnsi="Arial" w:cs="Arial"/>
          <w:lang w:val="en-US"/>
        </w:rPr>
        <w:t>e.g.</w:t>
      </w:r>
      <w:proofErr w:type="gramEnd"/>
      <w:r>
        <w:rPr>
          <w:rFonts w:ascii="Arial" w:eastAsia="Arial" w:hAnsi="Arial" w:cs="Arial"/>
          <w:lang w:val="en-US"/>
        </w:rPr>
        <w:t xml:space="preserve"> pregnant patients.</w:t>
      </w:r>
    </w:p>
    <w:p w14:paraId="259B0CC4" w14:textId="6676F7E4" w:rsidR="00C2164A" w:rsidRPr="000B5913" w:rsidRDefault="00C2164A" w:rsidP="00CA76A7">
      <w:pPr>
        <w:pStyle w:val="ListParagraph"/>
        <w:ind w:left="360"/>
        <w:rPr>
          <w:rFonts w:ascii="Arial" w:hAnsi="Arial" w:cs="Arial"/>
        </w:rPr>
      </w:pPr>
    </w:p>
    <w:p w14:paraId="4C09E914" w14:textId="77777777" w:rsidR="001C43F6" w:rsidRDefault="00C2164A" w:rsidP="001C43F6">
      <w:pPr>
        <w:jc w:val="both"/>
        <w:rPr>
          <w:rFonts w:ascii="Arial" w:hAnsi="Arial" w:cs="Arial"/>
          <w:szCs w:val="24"/>
          <w:lang w:eastAsia="en-GB"/>
        </w:rPr>
      </w:pPr>
      <w:r w:rsidRPr="00CA76A7">
        <w:rPr>
          <w:rFonts w:ascii="Arial" w:hAnsi="Arial" w:cs="Arial"/>
          <w:b/>
          <w:bCs/>
        </w:rPr>
        <w:t>Spec</w:t>
      </w:r>
      <w:r w:rsidR="00C619EF" w:rsidRPr="00CA76A7">
        <w:rPr>
          <w:rFonts w:ascii="Arial" w:hAnsi="Arial" w:cs="Arial"/>
          <w:b/>
          <w:bCs/>
        </w:rPr>
        <w:t>ialised</w:t>
      </w:r>
      <w:r w:rsidRPr="00CA76A7">
        <w:rPr>
          <w:rFonts w:ascii="Arial" w:hAnsi="Arial" w:cs="Arial"/>
          <w:b/>
          <w:bCs/>
        </w:rPr>
        <w:t xml:space="preserve"> Drug Monitoring</w:t>
      </w:r>
      <w:r w:rsidR="001C43F6">
        <w:rPr>
          <w:rFonts w:ascii="Arial" w:hAnsi="Arial" w:cs="Arial"/>
        </w:rPr>
        <w:t xml:space="preserve"> - </w:t>
      </w:r>
      <w:r w:rsidR="001C43F6">
        <w:rPr>
          <w:rFonts w:ascii="Arial" w:hAnsi="Arial" w:cs="Arial"/>
          <w:szCs w:val="24"/>
          <w:lang w:eastAsia="en-GB"/>
        </w:rPr>
        <w:t xml:space="preserve">This service is for the monitoring and prescribing of specialist medication.  Providers will accept the prescribing responsibility of the detailed complex treatments which have been initiated by or on the request of secondary or tertiary </w:t>
      </w:r>
      <w:proofErr w:type="gramStart"/>
      <w:r w:rsidR="001C43F6">
        <w:rPr>
          <w:rFonts w:ascii="Arial" w:hAnsi="Arial" w:cs="Arial"/>
          <w:szCs w:val="24"/>
          <w:lang w:eastAsia="en-GB"/>
        </w:rPr>
        <w:t>care based</w:t>
      </w:r>
      <w:proofErr w:type="gramEnd"/>
      <w:r w:rsidR="001C43F6">
        <w:rPr>
          <w:rFonts w:ascii="Arial" w:hAnsi="Arial" w:cs="Arial"/>
          <w:szCs w:val="24"/>
          <w:lang w:eastAsia="en-GB"/>
        </w:rPr>
        <w:t xml:space="preserve"> specialists.   The service applies to drugs, currently included within the amber 1 (with shared care)</w:t>
      </w:r>
      <w:r w:rsidR="001C43F6">
        <w:rPr>
          <w:rFonts w:ascii="Arial" w:hAnsi="Arial" w:cs="Arial"/>
          <w:color w:val="FF0000"/>
          <w:szCs w:val="24"/>
          <w:lang w:eastAsia="en-GB"/>
        </w:rPr>
        <w:t xml:space="preserve"> </w:t>
      </w:r>
      <w:r w:rsidR="001C43F6">
        <w:rPr>
          <w:rFonts w:ascii="Arial" w:hAnsi="Arial" w:cs="Arial"/>
          <w:szCs w:val="24"/>
          <w:lang w:eastAsia="en-GB"/>
        </w:rPr>
        <w:t xml:space="preserve">section of the Lincolnshire Joint Formulary, which require a shared care guideline only. These drugs are approved for continued prescribing in primary care, subject to specialist initiation, and the transfer of prescribing responsibility between primary and secondary/tertiary care. </w:t>
      </w:r>
    </w:p>
    <w:p w14:paraId="333F878C" w14:textId="77777777" w:rsidR="001C43F6" w:rsidRDefault="001C43F6" w:rsidP="001C43F6">
      <w:pPr>
        <w:jc w:val="both"/>
        <w:rPr>
          <w:rFonts w:ascii="Arial" w:hAnsi="Arial" w:cs="Arial"/>
          <w:szCs w:val="24"/>
          <w:lang w:eastAsia="en-GB"/>
        </w:rPr>
      </w:pPr>
    </w:p>
    <w:p w14:paraId="0CB0B30D" w14:textId="3356D1C5" w:rsidR="001C43F6" w:rsidRDefault="00C2164A" w:rsidP="001C43F6">
      <w:pPr>
        <w:widowControl w:val="0"/>
        <w:tabs>
          <w:tab w:val="left" w:pos="1198"/>
        </w:tabs>
        <w:jc w:val="both"/>
        <w:rPr>
          <w:rFonts w:ascii="Arial" w:hAnsi="Arial" w:cs="Arial"/>
          <w:szCs w:val="24"/>
        </w:rPr>
      </w:pPr>
      <w:r w:rsidRPr="00CA76A7">
        <w:rPr>
          <w:rFonts w:ascii="Arial" w:hAnsi="Arial" w:cs="Arial"/>
          <w:b/>
          <w:bCs/>
        </w:rPr>
        <w:t>Treatment Room</w:t>
      </w:r>
      <w:r w:rsidR="001C43F6">
        <w:rPr>
          <w:rFonts w:ascii="Arial" w:hAnsi="Arial" w:cs="Arial"/>
        </w:rPr>
        <w:t xml:space="preserve"> </w:t>
      </w:r>
      <w:r w:rsidR="00CA76A7">
        <w:rPr>
          <w:rFonts w:ascii="Arial" w:hAnsi="Arial" w:cs="Arial"/>
        </w:rPr>
        <w:t>–</w:t>
      </w:r>
      <w:r w:rsidR="001C43F6">
        <w:rPr>
          <w:rFonts w:ascii="Arial" w:hAnsi="Arial" w:cs="Arial"/>
        </w:rPr>
        <w:t xml:space="preserve"> </w:t>
      </w:r>
      <w:r w:rsidR="00CA76A7">
        <w:rPr>
          <w:rFonts w:ascii="Arial" w:hAnsi="Arial" w:cs="Arial"/>
        </w:rPr>
        <w:t xml:space="preserve">A service for </w:t>
      </w:r>
      <w:r w:rsidR="001C43F6">
        <w:rPr>
          <w:rFonts w:ascii="Arial" w:hAnsi="Arial" w:cs="Arial"/>
          <w:spacing w:val="-4"/>
          <w:lang w:val="en-US"/>
        </w:rPr>
        <w:t>patients who undergo treatment in secondary care, minor injury units and under Community Surgery Services</w:t>
      </w:r>
      <w:r w:rsidR="00CA76A7">
        <w:rPr>
          <w:rFonts w:ascii="Arial" w:hAnsi="Arial" w:cs="Arial"/>
          <w:spacing w:val="-4"/>
          <w:lang w:val="en-US"/>
        </w:rPr>
        <w:t>.  Patients will</w:t>
      </w:r>
      <w:r w:rsidR="001C43F6">
        <w:rPr>
          <w:rFonts w:ascii="Arial" w:hAnsi="Arial" w:cs="Arial"/>
          <w:spacing w:val="-4"/>
          <w:lang w:val="en-US"/>
        </w:rPr>
        <w:t xml:space="preserve"> receive effective follow up wound care as required.  A range </w:t>
      </w:r>
      <w:r w:rsidR="001C43F6">
        <w:rPr>
          <w:rFonts w:ascii="Arial" w:hAnsi="Arial" w:cs="Arial"/>
          <w:szCs w:val="24"/>
        </w:rPr>
        <w:t>of procedures will be provided within primary care and may include but not restricted to:</w:t>
      </w:r>
    </w:p>
    <w:p w14:paraId="71D1B36A" w14:textId="77777777" w:rsidR="001C43F6" w:rsidRDefault="001C43F6" w:rsidP="001C43F6">
      <w:pPr>
        <w:pStyle w:val="ListParagraph"/>
        <w:numPr>
          <w:ilvl w:val="0"/>
          <w:numId w:val="5"/>
        </w:numPr>
        <w:jc w:val="both"/>
        <w:rPr>
          <w:rFonts w:ascii="Arial" w:hAnsi="Arial" w:cs="Arial"/>
        </w:rPr>
      </w:pPr>
      <w:r>
        <w:rPr>
          <w:rFonts w:ascii="Arial" w:hAnsi="Arial" w:cs="Arial"/>
        </w:rPr>
        <w:lastRenderedPageBreak/>
        <w:t>Post-operative care of surgical wounds that fall within the skill and experience of the staff involved.</w:t>
      </w:r>
    </w:p>
    <w:p w14:paraId="14DCE478" w14:textId="77777777" w:rsidR="001C43F6" w:rsidRDefault="001C43F6" w:rsidP="001C43F6">
      <w:pPr>
        <w:pStyle w:val="ListParagraph"/>
        <w:numPr>
          <w:ilvl w:val="0"/>
          <w:numId w:val="5"/>
        </w:numPr>
        <w:jc w:val="both"/>
        <w:rPr>
          <w:rFonts w:ascii="Arial" w:hAnsi="Arial" w:cs="Arial"/>
        </w:rPr>
      </w:pPr>
      <w:r>
        <w:rPr>
          <w:rFonts w:ascii="Arial" w:hAnsi="Arial" w:cs="Arial"/>
        </w:rPr>
        <w:t>Removal of sutures and clips from uncomplicated wounds.</w:t>
      </w:r>
    </w:p>
    <w:p w14:paraId="793585EA" w14:textId="77777777" w:rsidR="001C43F6" w:rsidRDefault="001C43F6" w:rsidP="001C43F6">
      <w:pPr>
        <w:pStyle w:val="ListParagraph"/>
        <w:numPr>
          <w:ilvl w:val="0"/>
          <w:numId w:val="5"/>
        </w:numPr>
        <w:jc w:val="both"/>
        <w:rPr>
          <w:rFonts w:ascii="Arial" w:hAnsi="Arial" w:cs="Arial"/>
          <w:b/>
        </w:rPr>
      </w:pPr>
      <w:r>
        <w:rPr>
          <w:rFonts w:ascii="Arial" w:hAnsi="Arial" w:cs="Arial"/>
        </w:rPr>
        <w:t xml:space="preserve">Follow up wound care arising from attendance at </w:t>
      </w:r>
      <w:proofErr w:type="spellStart"/>
      <w:r>
        <w:rPr>
          <w:rFonts w:ascii="Arial" w:hAnsi="Arial" w:cs="Arial"/>
        </w:rPr>
        <w:t>GPwSI</w:t>
      </w:r>
      <w:proofErr w:type="spellEnd"/>
      <w:r>
        <w:rPr>
          <w:rFonts w:ascii="Arial" w:hAnsi="Arial" w:cs="Arial"/>
        </w:rPr>
        <w:t xml:space="preserve"> schemes, the Community Surgery Service and Minor Injury Units.</w:t>
      </w:r>
    </w:p>
    <w:p w14:paraId="155F564D" w14:textId="77777777" w:rsidR="001C43F6" w:rsidRDefault="001C43F6" w:rsidP="001C43F6">
      <w:pPr>
        <w:pStyle w:val="ListParagraph"/>
        <w:numPr>
          <w:ilvl w:val="0"/>
          <w:numId w:val="6"/>
        </w:numPr>
        <w:jc w:val="both"/>
        <w:rPr>
          <w:rFonts w:ascii="Arial" w:hAnsi="Arial" w:cs="Arial"/>
        </w:rPr>
      </w:pPr>
      <w:r>
        <w:rPr>
          <w:rFonts w:ascii="Arial" w:hAnsi="Arial" w:cs="Arial"/>
        </w:rPr>
        <w:t>Wound assessment to ensure appropriate dressings are used.</w:t>
      </w:r>
    </w:p>
    <w:p w14:paraId="2DB0787C" w14:textId="057E77DB" w:rsidR="00C2164A" w:rsidRPr="000B5913" w:rsidRDefault="00C2164A" w:rsidP="00CA76A7">
      <w:pPr>
        <w:pStyle w:val="ListParagraph"/>
        <w:ind w:left="360"/>
        <w:rPr>
          <w:rFonts w:ascii="Arial" w:hAnsi="Arial" w:cs="Arial"/>
        </w:rPr>
      </w:pPr>
    </w:p>
    <w:p w14:paraId="246D328E" w14:textId="7981D490" w:rsidR="001C43F6" w:rsidRDefault="00C2164A" w:rsidP="001C43F6">
      <w:pPr>
        <w:autoSpaceDE w:val="0"/>
        <w:autoSpaceDN w:val="0"/>
        <w:adjustRightInd w:val="0"/>
        <w:jc w:val="both"/>
        <w:rPr>
          <w:rFonts w:ascii="Arial" w:eastAsia="Arial" w:hAnsi="Arial" w:cs="Arial"/>
          <w:spacing w:val="-4"/>
          <w:lang w:val="en-US"/>
        </w:rPr>
      </w:pPr>
      <w:r w:rsidRPr="006777EA">
        <w:rPr>
          <w:rFonts w:ascii="Arial" w:hAnsi="Arial" w:cs="Arial"/>
          <w:b/>
          <w:bCs/>
        </w:rPr>
        <w:t>Warfarin (INR)</w:t>
      </w:r>
      <w:r w:rsidR="001C43F6" w:rsidRPr="006777EA">
        <w:rPr>
          <w:rFonts w:ascii="Arial" w:hAnsi="Arial" w:cs="Arial"/>
          <w:b/>
          <w:bCs/>
        </w:rPr>
        <w:t xml:space="preserve"> </w:t>
      </w:r>
      <w:proofErr w:type="gramStart"/>
      <w:r w:rsidR="001C43F6" w:rsidRPr="006777EA">
        <w:rPr>
          <w:rFonts w:ascii="Arial" w:hAnsi="Arial" w:cs="Arial"/>
          <w:b/>
          <w:bCs/>
        </w:rPr>
        <w:t xml:space="preserve">- </w:t>
      </w:r>
      <w:r w:rsidR="00CA76A7">
        <w:rPr>
          <w:rFonts w:ascii="Arial" w:hAnsi="Arial" w:cs="Arial"/>
          <w:b/>
          <w:bCs/>
        </w:rPr>
        <w:t xml:space="preserve"> </w:t>
      </w:r>
      <w:r w:rsidR="00CA76A7">
        <w:rPr>
          <w:rFonts w:ascii="Arial" w:hAnsi="Arial" w:cs="Arial"/>
        </w:rPr>
        <w:t>A</w:t>
      </w:r>
      <w:proofErr w:type="gramEnd"/>
      <w:r w:rsidR="001C43F6">
        <w:rPr>
          <w:rFonts w:ascii="Arial" w:eastAsia="Calibri" w:hAnsi="Arial" w:cs="Arial"/>
        </w:rPr>
        <w:t xml:space="preserve"> safe, effective and accessible initiation, stabilisation, monitoring and dosing of an oral anticoagulation management service for patients</w:t>
      </w:r>
      <w:r w:rsidR="00CA76A7">
        <w:rPr>
          <w:rFonts w:ascii="Arial" w:eastAsia="Calibri" w:hAnsi="Arial" w:cs="Arial"/>
        </w:rPr>
        <w:t>.  The</w:t>
      </w:r>
      <w:r w:rsidR="001C43F6">
        <w:rPr>
          <w:rFonts w:ascii="Arial" w:eastAsia="Calibri" w:hAnsi="Arial" w:cs="Arial"/>
        </w:rPr>
        <w:t xml:space="preserve"> majority </w:t>
      </w:r>
      <w:r w:rsidR="00CA76A7">
        <w:rPr>
          <w:rFonts w:ascii="Arial" w:eastAsia="Calibri" w:hAnsi="Arial" w:cs="Arial"/>
        </w:rPr>
        <w:t xml:space="preserve">are </w:t>
      </w:r>
      <w:r w:rsidR="001C43F6">
        <w:rPr>
          <w:rFonts w:ascii="Arial" w:eastAsia="Calibri" w:hAnsi="Arial" w:cs="Arial"/>
        </w:rPr>
        <w:t xml:space="preserve">defined as non-complex, in a community setting.  The service is for patients who are either initiated in primary or secondary care and will align to National Guidance.  </w:t>
      </w:r>
      <w:r w:rsidR="001C43F6">
        <w:rPr>
          <w:rFonts w:ascii="Arial" w:eastAsia="Arial" w:hAnsi="Arial" w:cs="Arial"/>
          <w:spacing w:val="-4"/>
          <w:lang w:val="en-US"/>
        </w:rPr>
        <w:t xml:space="preserve">This specification refers primarily to Warfarin which is an example of a vitamin K antagonist.  The provider will test and make any alterations to the patient’s Warfarin dosage in one visit including providing domiciliary care when the patient is housebound. </w:t>
      </w:r>
    </w:p>
    <w:p w14:paraId="0C392EA8" w14:textId="77777777" w:rsidR="001C43F6" w:rsidRDefault="001C43F6" w:rsidP="001C43F6">
      <w:pPr>
        <w:autoSpaceDE w:val="0"/>
        <w:autoSpaceDN w:val="0"/>
        <w:adjustRightInd w:val="0"/>
        <w:jc w:val="both"/>
        <w:rPr>
          <w:rFonts w:ascii="Arial" w:eastAsia="Arial" w:hAnsi="Arial" w:cs="Arial"/>
          <w:spacing w:val="-4"/>
          <w:lang w:val="en-US"/>
        </w:rPr>
      </w:pPr>
    </w:p>
    <w:p w14:paraId="394ABEE8" w14:textId="18A1B8C0" w:rsidR="001C43F6" w:rsidRDefault="00C2164A" w:rsidP="001C43F6">
      <w:pPr>
        <w:jc w:val="both"/>
        <w:rPr>
          <w:rFonts w:ascii="Arial" w:hAnsi="Arial" w:cs="Arial"/>
          <w:szCs w:val="24"/>
        </w:rPr>
      </w:pPr>
      <w:r w:rsidRPr="00CA76A7">
        <w:rPr>
          <w:rFonts w:ascii="Arial" w:hAnsi="Arial" w:cs="Arial"/>
          <w:b/>
          <w:bCs/>
        </w:rPr>
        <w:t>24hr Ambulatory ECG Monitoring</w:t>
      </w:r>
      <w:r w:rsidRPr="000B5913">
        <w:rPr>
          <w:rFonts w:ascii="Arial" w:hAnsi="Arial" w:cs="Arial"/>
        </w:rPr>
        <w:t xml:space="preserve"> </w:t>
      </w:r>
      <w:r w:rsidR="00CA76A7">
        <w:rPr>
          <w:rFonts w:ascii="Arial" w:hAnsi="Arial" w:cs="Arial"/>
        </w:rPr>
        <w:t>–</w:t>
      </w:r>
      <w:r w:rsidR="001C43F6">
        <w:rPr>
          <w:rFonts w:ascii="Arial" w:hAnsi="Arial" w:cs="Arial"/>
        </w:rPr>
        <w:t xml:space="preserve"> </w:t>
      </w:r>
      <w:r w:rsidR="00CA76A7">
        <w:rPr>
          <w:rFonts w:ascii="Arial" w:hAnsi="Arial" w:cs="Arial"/>
        </w:rPr>
        <w:t xml:space="preserve">This service includes </w:t>
      </w:r>
      <w:r w:rsidR="001C43F6">
        <w:rPr>
          <w:rFonts w:ascii="Arial" w:hAnsi="Arial" w:cs="Arial"/>
          <w:szCs w:val="24"/>
        </w:rPr>
        <w:t xml:space="preserve">consideration of clinical history, </w:t>
      </w:r>
      <w:proofErr w:type="gramStart"/>
      <w:r w:rsidR="001C43F6">
        <w:rPr>
          <w:rFonts w:ascii="Arial" w:hAnsi="Arial" w:cs="Arial"/>
          <w:szCs w:val="24"/>
        </w:rPr>
        <w:t>examination</w:t>
      </w:r>
      <w:proofErr w:type="gramEnd"/>
      <w:r w:rsidR="001C43F6">
        <w:rPr>
          <w:rFonts w:ascii="Arial" w:hAnsi="Arial" w:cs="Arial"/>
          <w:szCs w:val="24"/>
        </w:rPr>
        <w:t xml:space="preserve"> and previous ECG monitoring outcomes.  </w:t>
      </w:r>
      <w:r w:rsidR="00CA76A7">
        <w:rPr>
          <w:rFonts w:ascii="Arial" w:hAnsi="Arial" w:cs="Arial"/>
          <w:szCs w:val="24"/>
        </w:rPr>
        <w:t>P</w:t>
      </w:r>
      <w:r w:rsidR="001C43F6">
        <w:rPr>
          <w:rFonts w:ascii="Arial" w:hAnsi="Arial" w:cs="Arial"/>
          <w:szCs w:val="24"/>
        </w:rPr>
        <w:t xml:space="preserve">rovision of </w:t>
      </w:r>
      <w:proofErr w:type="gramStart"/>
      <w:r w:rsidR="001C43F6">
        <w:rPr>
          <w:rFonts w:ascii="Arial" w:hAnsi="Arial" w:cs="Arial"/>
          <w:szCs w:val="24"/>
        </w:rPr>
        <w:t>24 hour</w:t>
      </w:r>
      <w:proofErr w:type="gramEnd"/>
      <w:r w:rsidR="001C43F6">
        <w:rPr>
          <w:rFonts w:ascii="Arial" w:hAnsi="Arial" w:cs="Arial"/>
          <w:szCs w:val="24"/>
        </w:rPr>
        <w:t xml:space="preserve"> ambulatory electrocardiograms (ECG) to enable diagnosis, management and treatment of heart disease.</w:t>
      </w:r>
    </w:p>
    <w:p w14:paraId="79E0BE42" w14:textId="77777777" w:rsidR="001C43F6" w:rsidRDefault="001C43F6" w:rsidP="001C43F6">
      <w:pPr>
        <w:jc w:val="both"/>
        <w:rPr>
          <w:rFonts w:ascii="Arial" w:hAnsi="Arial" w:cs="Arial"/>
        </w:rPr>
      </w:pPr>
    </w:p>
    <w:p w14:paraId="706B74E7" w14:textId="6A312D80" w:rsidR="00C2164A" w:rsidRPr="00CA76A7" w:rsidRDefault="00C2164A" w:rsidP="006777EA">
      <w:pPr>
        <w:pStyle w:val="TableParagraph"/>
        <w:jc w:val="both"/>
        <w:rPr>
          <w:rFonts w:ascii="Arial" w:hAnsi="Arial" w:cs="Arial"/>
          <w:b/>
          <w:bCs/>
        </w:rPr>
      </w:pPr>
      <w:r w:rsidRPr="00CA76A7">
        <w:rPr>
          <w:rFonts w:ascii="Arial" w:hAnsi="Arial" w:cs="Arial"/>
          <w:b/>
          <w:bCs/>
        </w:rPr>
        <w:t>Safeguarding</w:t>
      </w:r>
      <w:r w:rsidR="006777EA">
        <w:rPr>
          <w:rFonts w:ascii="Arial" w:hAnsi="Arial" w:cs="Arial"/>
          <w:b/>
          <w:bCs/>
        </w:rPr>
        <w:t xml:space="preserve"> - </w:t>
      </w:r>
      <w:r w:rsidR="006777EA" w:rsidRPr="006777EA">
        <w:rPr>
          <w:rFonts w:ascii="Arial" w:hAnsi="Arial" w:cs="Arial"/>
          <w:spacing w:val="2"/>
        </w:rPr>
        <w:t xml:space="preserve">To </w:t>
      </w:r>
      <w:r w:rsidR="006777EA">
        <w:rPr>
          <w:rFonts w:ascii="Arial" w:hAnsi="Arial" w:cs="Arial"/>
          <w:spacing w:val="2"/>
        </w:rPr>
        <w:t xml:space="preserve">support </w:t>
      </w:r>
      <w:proofErr w:type="gramStart"/>
      <w:r w:rsidR="006777EA" w:rsidRPr="006777EA">
        <w:rPr>
          <w:rFonts w:ascii="Arial" w:hAnsi="Arial" w:cs="Arial"/>
        </w:rPr>
        <w:t>GP’s</w:t>
      </w:r>
      <w:proofErr w:type="gramEnd"/>
      <w:r w:rsidR="006777EA" w:rsidRPr="006777EA">
        <w:rPr>
          <w:rFonts w:ascii="Arial" w:hAnsi="Arial" w:cs="Arial"/>
        </w:rPr>
        <w:t xml:space="preserve"> </w:t>
      </w:r>
      <w:r w:rsidR="006777EA">
        <w:rPr>
          <w:rFonts w:ascii="Arial" w:hAnsi="Arial" w:cs="Arial"/>
        </w:rPr>
        <w:t xml:space="preserve">to </w:t>
      </w:r>
      <w:r w:rsidR="006777EA" w:rsidRPr="006777EA">
        <w:rPr>
          <w:rFonts w:ascii="Arial" w:hAnsi="Arial" w:cs="Arial"/>
        </w:rPr>
        <w:t>engage</w:t>
      </w:r>
      <w:r w:rsidR="006777EA">
        <w:rPr>
          <w:rFonts w:ascii="Arial" w:hAnsi="Arial" w:cs="Arial"/>
        </w:rPr>
        <w:t xml:space="preserve"> and respond on their statutory </w:t>
      </w:r>
      <w:r w:rsidR="006777EA" w:rsidRPr="006777EA">
        <w:rPr>
          <w:rFonts w:ascii="Arial" w:hAnsi="Arial" w:cs="Arial"/>
        </w:rPr>
        <w:t>safeguarding</w:t>
      </w:r>
      <w:r w:rsidR="006777EA" w:rsidRPr="006777EA">
        <w:rPr>
          <w:rFonts w:ascii="Arial" w:hAnsi="Arial" w:cs="Arial"/>
          <w:spacing w:val="36"/>
        </w:rPr>
        <w:t xml:space="preserve"> </w:t>
      </w:r>
      <w:r w:rsidR="006777EA" w:rsidRPr="006777EA">
        <w:rPr>
          <w:rFonts w:ascii="Arial" w:hAnsi="Arial" w:cs="Arial"/>
        </w:rPr>
        <w:t xml:space="preserve">responsibilities.  </w:t>
      </w:r>
      <w:r w:rsidR="006777EA" w:rsidRPr="006777EA">
        <w:rPr>
          <w:rFonts w:ascii="Arial" w:eastAsia="Arial" w:hAnsi="Arial" w:cs="Arial"/>
          <w:spacing w:val="2"/>
        </w:rPr>
        <w:t xml:space="preserve">To </w:t>
      </w:r>
      <w:r w:rsidR="006777EA">
        <w:rPr>
          <w:rFonts w:ascii="Arial" w:eastAsia="Arial" w:hAnsi="Arial" w:cs="Arial"/>
          <w:spacing w:val="2"/>
        </w:rPr>
        <w:t xml:space="preserve">provide </w:t>
      </w:r>
      <w:r w:rsidR="006777EA" w:rsidRPr="006777EA">
        <w:rPr>
          <w:rFonts w:ascii="Arial" w:eastAsia="Arial" w:hAnsi="Arial" w:cs="Arial"/>
        </w:rPr>
        <w:t xml:space="preserve">all relevant information </w:t>
      </w:r>
      <w:r w:rsidR="006777EA">
        <w:rPr>
          <w:rFonts w:ascii="Arial" w:eastAsia="Arial" w:hAnsi="Arial" w:cs="Arial"/>
        </w:rPr>
        <w:t xml:space="preserve">requested in </w:t>
      </w:r>
      <w:r w:rsidR="006777EA" w:rsidRPr="006777EA">
        <w:rPr>
          <w:rFonts w:ascii="Arial" w:eastAsia="Arial" w:hAnsi="Arial" w:cs="Arial"/>
        </w:rPr>
        <w:t xml:space="preserve">a </w:t>
      </w:r>
      <w:r w:rsidR="006777EA" w:rsidRPr="006777EA">
        <w:rPr>
          <w:rFonts w:ascii="Arial" w:eastAsia="Arial" w:hAnsi="Arial" w:cs="Arial"/>
          <w:spacing w:val="-3"/>
        </w:rPr>
        <w:t xml:space="preserve">timely </w:t>
      </w:r>
      <w:r w:rsidR="006777EA" w:rsidRPr="006777EA">
        <w:rPr>
          <w:rFonts w:ascii="Arial" w:eastAsia="Arial" w:hAnsi="Arial" w:cs="Arial"/>
        </w:rPr>
        <w:t xml:space="preserve">fashion to the appropriate agencies to safeguard children or adults at risk of harm. </w:t>
      </w:r>
      <w:r w:rsidR="006777EA">
        <w:rPr>
          <w:rFonts w:ascii="Arial" w:eastAsia="Arial" w:hAnsi="Arial" w:cs="Arial"/>
        </w:rPr>
        <w:t xml:space="preserve">Attendance at case conferences may also be required. </w:t>
      </w:r>
    </w:p>
    <w:p w14:paraId="21B96AA7" w14:textId="77777777" w:rsidR="00CA76A7" w:rsidRDefault="00CA76A7" w:rsidP="001C43F6">
      <w:pPr>
        <w:autoSpaceDE w:val="0"/>
        <w:autoSpaceDN w:val="0"/>
        <w:adjustRightInd w:val="0"/>
        <w:jc w:val="both"/>
        <w:rPr>
          <w:rFonts w:ascii="Arial" w:hAnsi="Arial" w:cs="Arial"/>
          <w:highlight w:val="yellow"/>
        </w:rPr>
      </w:pPr>
    </w:p>
    <w:p w14:paraId="71FCD19B" w14:textId="59FF6143" w:rsidR="001C43F6" w:rsidRDefault="00C2164A" w:rsidP="001C43F6">
      <w:pPr>
        <w:autoSpaceDE w:val="0"/>
        <w:autoSpaceDN w:val="0"/>
        <w:adjustRightInd w:val="0"/>
        <w:jc w:val="both"/>
        <w:rPr>
          <w:rFonts w:asciiTheme="minorHAnsi" w:eastAsia="Calibri" w:hAnsiTheme="minorHAnsi" w:cs="Arial"/>
        </w:rPr>
      </w:pPr>
      <w:r w:rsidRPr="006777EA">
        <w:rPr>
          <w:rFonts w:ascii="Arial" w:hAnsi="Arial" w:cs="Arial"/>
          <w:b/>
          <w:bCs/>
        </w:rPr>
        <w:t>DOAC</w:t>
      </w:r>
      <w:r w:rsidR="001C43F6" w:rsidRPr="006777EA">
        <w:rPr>
          <w:rFonts w:ascii="Arial" w:hAnsi="Arial" w:cs="Arial"/>
          <w:b/>
          <w:bCs/>
        </w:rPr>
        <w:t xml:space="preserve"> </w:t>
      </w:r>
      <w:r w:rsidR="00CA76A7" w:rsidRPr="006777EA">
        <w:rPr>
          <w:rFonts w:ascii="Arial" w:hAnsi="Arial" w:cs="Arial"/>
        </w:rPr>
        <w:t>–</w:t>
      </w:r>
      <w:r w:rsidR="001C43F6" w:rsidRPr="006777EA">
        <w:rPr>
          <w:rFonts w:ascii="Arial" w:hAnsi="Arial" w:cs="Arial"/>
        </w:rPr>
        <w:t xml:space="preserve"> </w:t>
      </w:r>
      <w:r w:rsidR="00CA76A7" w:rsidRPr="006777EA">
        <w:rPr>
          <w:rFonts w:ascii="Arial" w:hAnsi="Arial" w:cs="Arial"/>
        </w:rPr>
        <w:t>This</w:t>
      </w:r>
      <w:r w:rsidR="00CA76A7">
        <w:rPr>
          <w:rFonts w:ascii="Arial" w:hAnsi="Arial" w:cs="Arial"/>
        </w:rPr>
        <w:t xml:space="preserve"> service covers </w:t>
      </w:r>
      <w:r w:rsidR="001C43F6">
        <w:rPr>
          <w:rFonts w:ascii="Arial" w:eastAsia="Calibri" w:hAnsi="Arial" w:cs="Arial"/>
          <w:szCs w:val="24"/>
        </w:rPr>
        <w:t>initiation, stabilisation, monitoring</w:t>
      </w:r>
      <w:r w:rsidR="00CA76A7">
        <w:rPr>
          <w:rFonts w:ascii="Arial" w:eastAsia="Calibri" w:hAnsi="Arial" w:cs="Arial"/>
          <w:szCs w:val="24"/>
        </w:rPr>
        <w:t xml:space="preserve">, </w:t>
      </w:r>
      <w:proofErr w:type="gramStart"/>
      <w:r w:rsidR="001C43F6">
        <w:rPr>
          <w:rFonts w:ascii="Arial" w:eastAsia="Calibri" w:hAnsi="Arial" w:cs="Arial"/>
          <w:szCs w:val="24"/>
        </w:rPr>
        <w:t>dosing</w:t>
      </w:r>
      <w:proofErr w:type="gramEnd"/>
      <w:r w:rsidR="00CA76A7">
        <w:rPr>
          <w:rFonts w:ascii="Arial" w:eastAsia="Calibri" w:hAnsi="Arial" w:cs="Arial"/>
          <w:szCs w:val="24"/>
        </w:rPr>
        <w:t xml:space="preserve"> and management</w:t>
      </w:r>
      <w:r w:rsidR="001C43F6">
        <w:rPr>
          <w:rFonts w:ascii="Arial" w:eastAsia="Calibri" w:hAnsi="Arial" w:cs="Arial"/>
          <w:szCs w:val="24"/>
        </w:rPr>
        <w:t xml:space="preserve"> of Direct-Acting Oral Anticoagulation (DOAC).  The service is for patients aged 16 and over, who have been initiated on DOAC therapy in primary care and, where appropriate patients initiated in secondary care, in line with National Guidance</w:t>
      </w:r>
      <w:r w:rsidR="001C43F6">
        <w:rPr>
          <w:rFonts w:eastAsia="Calibri" w:cs="Arial"/>
        </w:rPr>
        <w:t>.</w:t>
      </w:r>
    </w:p>
    <w:p w14:paraId="0B0221AC" w14:textId="77777777" w:rsidR="001C43F6" w:rsidRDefault="001C43F6" w:rsidP="001C43F6">
      <w:pPr>
        <w:pStyle w:val="ListParagraph"/>
        <w:ind w:left="0"/>
        <w:rPr>
          <w:rFonts w:ascii="Arial" w:hAnsi="Arial" w:cs="Arial"/>
        </w:rPr>
      </w:pPr>
    </w:p>
    <w:p w14:paraId="6BD2686C" w14:textId="77777777" w:rsidR="001C43F6" w:rsidRDefault="001C43F6" w:rsidP="001C43F6">
      <w:pPr>
        <w:pStyle w:val="ListParagraph"/>
        <w:ind w:left="0"/>
        <w:rPr>
          <w:rFonts w:ascii="Arial" w:hAnsi="Arial" w:cs="Arial"/>
        </w:rPr>
      </w:pPr>
      <w:r>
        <w:rPr>
          <w:rFonts w:ascii="Arial" w:hAnsi="Arial" w:cs="Arial"/>
        </w:rPr>
        <w:t xml:space="preserve">The management of patients requiring oral anticoagulation therapy includes: </w:t>
      </w:r>
    </w:p>
    <w:p w14:paraId="01FCE622" w14:textId="77777777" w:rsidR="001C43F6" w:rsidRDefault="001C43F6" w:rsidP="001C43F6">
      <w:pPr>
        <w:pStyle w:val="ListParagraph"/>
        <w:numPr>
          <w:ilvl w:val="0"/>
          <w:numId w:val="9"/>
        </w:numPr>
        <w:ind w:left="284" w:hanging="284"/>
        <w:rPr>
          <w:rFonts w:ascii="Arial" w:hAnsi="Arial" w:cs="Arial"/>
        </w:rPr>
      </w:pPr>
      <w:r>
        <w:rPr>
          <w:rFonts w:ascii="Arial" w:hAnsi="Arial" w:cs="Arial"/>
        </w:rPr>
        <w:t>Stroke prevention in non-valvular atrial fibrillation</w:t>
      </w:r>
    </w:p>
    <w:p w14:paraId="5E15533B" w14:textId="77777777" w:rsidR="001C43F6" w:rsidRDefault="001C43F6" w:rsidP="001C43F6">
      <w:pPr>
        <w:pStyle w:val="ListParagraph"/>
        <w:numPr>
          <w:ilvl w:val="0"/>
          <w:numId w:val="9"/>
        </w:numPr>
        <w:ind w:left="284" w:hanging="284"/>
        <w:rPr>
          <w:rFonts w:ascii="Arial" w:hAnsi="Arial" w:cs="Arial"/>
        </w:rPr>
      </w:pPr>
      <w:r>
        <w:rPr>
          <w:rFonts w:ascii="Arial" w:hAnsi="Arial" w:cs="Arial"/>
        </w:rPr>
        <w:t>Treatment of thromboembolic disease</w:t>
      </w:r>
    </w:p>
    <w:p w14:paraId="7326F711" w14:textId="77777777" w:rsidR="001C43F6" w:rsidRDefault="001C43F6" w:rsidP="001C43F6">
      <w:pPr>
        <w:pStyle w:val="ListParagraph"/>
        <w:numPr>
          <w:ilvl w:val="0"/>
          <w:numId w:val="9"/>
        </w:numPr>
        <w:ind w:left="284" w:hanging="284"/>
        <w:rPr>
          <w:rFonts w:ascii="Arial" w:hAnsi="Arial" w:cs="Arial"/>
        </w:rPr>
      </w:pPr>
      <w:r>
        <w:rPr>
          <w:rFonts w:ascii="Arial" w:hAnsi="Arial" w:cs="Arial"/>
        </w:rPr>
        <w:t>Prevention of recurrent thromboembolic disease</w:t>
      </w:r>
    </w:p>
    <w:p w14:paraId="38E148F4" w14:textId="77777777" w:rsidR="001C43F6" w:rsidRDefault="001C43F6" w:rsidP="001C43F6">
      <w:pPr>
        <w:pStyle w:val="ListParagraph"/>
        <w:numPr>
          <w:ilvl w:val="0"/>
          <w:numId w:val="9"/>
        </w:numPr>
        <w:ind w:left="284" w:hanging="284"/>
        <w:rPr>
          <w:rFonts w:ascii="Arial" w:hAnsi="Arial" w:cs="Arial"/>
        </w:rPr>
      </w:pPr>
      <w:r>
        <w:rPr>
          <w:rFonts w:ascii="Arial" w:hAnsi="Arial" w:cs="Arial"/>
        </w:rPr>
        <w:t>Prevention of thromboembolism post-hip and knee surgery (use of DOAC varies for this indication)</w:t>
      </w:r>
    </w:p>
    <w:p w14:paraId="35B88332" w14:textId="77777777" w:rsidR="001C43F6" w:rsidRDefault="001C43F6" w:rsidP="001C43F6">
      <w:pPr>
        <w:pStyle w:val="ListParagraph"/>
        <w:ind w:left="0"/>
        <w:rPr>
          <w:rFonts w:ascii="Arial" w:hAnsi="Arial" w:cs="Arial"/>
        </w:rPr>
      </w:pPr>
    </w:p>
    <w:p w14:paraId="25F517A0" w14:textId="2712E1FA" w:rsidR="008212B5" w:rsidRDefault="000B5913" w:rsidP="008212B5">
      <w:pPr>
        <w:rPr>
          <w:rFonts w:ascii="Arial" w:eastAsia="Calibri" w:hAnsi="Arial" w:cs="Arial"/>
        </w:rPr>
      </w:pPr>
      <w:r w:rsidRPr="006777EA">
        <w:rPr>
          <w:rFonts w:ascii="Arial" w:hAnsi="Arial" w:cs="Arial"/>
          <w:b/>
          <w:bCs/>
        </w:rPr>
        <w:t>Spirometry</w:t>
      </w:r>
      <w:r w:rsidR="006777EA">
        <w:rPr>
          <w:rFonts w:ascii="Arial" w:hAnsi="Arial" w:cs="Arial"/>
          <w:b/>
          <w:bCs/>
        </w:rPr>
        <w:t xml:space="preserve"> </w:t>
      </w:r>
      <w:r w:rsidR="008212B5">
        <w:rPr>
          <w:rFonts w:ascii="Arial" w:hAnsi="Arial" w:cs="Arial"/>
          <w:b/>
          <w:bCs/>
        </w:rPr>
        <w:t>–</w:t>
      </w:r>
      <w:r w:rsidR="006777EA">
        <w:rPr>
          <w:rFonts w:ascii="Arial" w:hAnsi="Arial" w:cs="Arial"/>
          <w:b/>
          <w:bCs/>
        </w:rPr>
        <w:t xml:space="preserve"> </w:t>
      </w:r>
      <w:r w:rsidR="008212B5">
        <w:rPr>
          <w:rFonts w:ascii="Arial" w:hAnsi="Arial" w:cs="Arial"/>
        </w:rPr>
        <w:t xml:space="preserve">Assessment of </w:t>
      </w:r>
      <w:r w:rsidR="008212B5" w:rsidRPr="00B75B33">
        <w:rPr>
          <w:rFonts w:ascii="Arial" w:eastAsia="Times New Roman" w:hAnsi="Arial" w:cs="Arial"/>
        </w:rPr>
        <w:t xml:space="preserve">breathing patterns that identify conditions such asthma and Chronic Obstructive Pulmonary Disease (COPD), and </w:t>
      </w:r>
      <w:r w:rsidR="008212B5" w:rsidRPr="00B75B33">
        <w:rPr>
          <w:rFonts w:ascii="Arial" w:eastAsia="Calibri" w:hAnsi="Arial" w:cs="Arial"/>
        </w:rPr>
        <w:t xml:space="preserve">may be performed for a variety of reasons, including, but not limited to: </w:t>
      </w:r>
    </w:p>
    <w:p w14:paraId="55A51E8B" w14:textId="23D7857E" w:rsidR="008212B5" w:rsidRPr="008212B5" w:rsidRDefault="008212B5" w:rsidP="008212B5">
      <w:pPr>
        <w:pStyle w:val="ListParagraph"/>
        <w:numPr>
          <w:ilvl w:val="0"/>
          <w:numId w:val="13"/>
        </w:numPr>
        <w:ind w:left="360"/>
        <w:rPr>
          <w:rFonts w:ascii="Arial" w:hAnsi="Arial" w:cs="Arial"/>
        </w:rPr>
      </w:pPr>
      <w:r>
        <w:rPr>
          <w:rFonts w:ascii="Arial" w:hAnsi="Arial" w:cs="Arial"/>
        </w:rPr>
        <w:t>D</w:t>
      </w:r>
      <w:r w:rsidRPr="008212B5">
        <w:rPr>
          <w:rFonts w:ascii="Arial" w:hAnsi="Arial" w:cs="Arial"/>
        </w:rPr>
        <w:t xml:space="preserve">etecting the presence/absence of lung disease </w:t>
      </w:r>
    </w:p>
    <w:p w14:paraId="3A918FFD" w14:textId="2773F91B" w:rsidR="008212B5" w:rsidRPr="008212B5" w:rsidRDefault="008212B5" w:rsidP="008212B5">
      <w:pPr>
        <w:pStyle w:val="ListParagraph"/>
        <w:numPr>
          <w:ilvl w:val="0"/>
          <w:numId w:val="13"/>
        </w:numPr>
        <w:ind w:left="360"/>
        <w:rPr>
          <w:rFonts w:ascii="Arial" w:hAnsi="Arial" w:cs="Arial"/>
        </w:rPr>
      </w:pPr>
      <w:r>
        <w:rPr>
          <w:rFonts w:ascii="Arial" w:hAnsi="Arial" w:cs="Arial"/>
        </w:rPr>
        <w:t>C</w:t>
      </w:r>
      <w:r w:rsidRPr="008212B5">
        <w:rPr>
          <w:rFonts w:ascii="Arial" w:hAnsi="Arial" w:cs="Arial"/>
        </w:rPr>
        <w:t xml:space="preserve">onfirming the findings of other investigations </w:t>
      </w:r>
    </w:p>
    <w:p w14:paraId="7D4DC069" w14:textId="50197BC6" w:rsidR="008212B5" w:rsidRPr="008212B5" w:rsidRDefault="008212B5" w:rsidP="008212B5">
      <w:pPr>
        <w:pStyle w:val="ListParagraph"/>
        <w:numPr>
          <w:ilvl w:val="0"/>
          <w:numId w:val="13"/>
        </w:numPr>
        <w:ind w:left="360"/>
        <w:rPr>
          <w:rFonts w:ascii="Arial" w:hAnsi="Arial" w:cs="Arial"/>
        </w:rPr>
      </w:pPr>
      <w:r>
        <w:rPr>
          <w:rFonts w:ascii="Arial" w:hAnsi="Arial" w:cs="Arial"/>
        </w:rPr>
        <w:t>Q</w:t>
      </w:r>
      <w:r w:rsidRPr="008212B5">
        <w:rPr>
          <w:rFonts w:ascii="Arial" w:hAnsi="Arial" w:cs="Arial"/>
        </w:rPr>
        <w:t xml:space="preserve">uantifying the extent of lung impairment </w:t>
      </w:r>
    </w:p>
    <w:p w14:paraId="2ADB84BE" w14:textId="40C10B89" w:rsidR="008212B5" w:rsidRPr="008212B5" w:rsidRDefault="008212B5" w:rsidP="008212B5">
      <w:pPr>
        <w:pStyle w:val="ListParagraph"/>
        <w:numPr>
          <w:ilvl w:val="0"/>
          <w:numId w:val="13"/>
        </w:numPr>
        <w:ind w:left="360"/>
        <w:rPr>
          <w:rFonts w:ascii="Arial" w:hAnsi="Arial" w:cs="Arial"/>
        </w:rPr>
      </w:pPr>
      <w:r>
        <w:rPr>
          <w:rFonts w:ascii="Arial" w:hAnsi="Arial" w:cs="Arial"/>
        </w:rPr>
        <w:t>I</w:t>
      </w:r>
      <w:r w:rsidRPr="008212B5">
        <w:rPr>
          <w:rFonts w:ascii="Arial" w:hAnsi="Arial" w:cs="Arial"/>
        </w:rPr>
        <w:t xml:space="preserve">nvestigating the effects of other diseases on lung function </w:t>
      </w:r>
    </w:p>
    <w:p w14:paraId="42802598" w14:textId="799DB1E5" w:rsidR="008212B5" w:rsidRPr="008212B5" w:rsidRDefault="008212B5" w:rsidP="008212B5">
      <w:pPr>
        <w:pStyle w:val="ListParagraph"/>
        <w:numPr>
          <w:ilvl w:val="0"/>
          <w:numId w:val="13"/>
        </w:numPr>
        <w:ind w:left="360"/>
        <w:rPr>
          <w:rFonts w:ascii="Arial" w:hAnsi="Arial" w:cs="Arial"/>
        </w:rPr>
      </w:pPr>
      <w:r>
        <w:rPr>
          <w:rFonts w:ascii="Arial" w:hAnsi="Arial" w:cs="Arial"/>
        </w:rPr>
        <w:t>M</w:t>
      </w:r>
      <w:r w:rsidRPr="008212B5">
        <w:rPr>
          <w:rFonts w:ascii="Arial" w:hAnsi="Arial" w:cs="Arial"/>
        </w:rPr>
        <w:t xml:space="preserve">onitoring the effects of environmental exposures </w:t>
      </w:r>
    </w:p>
    <w:p w14:paraId="492F1761" w14:textId="79F48D3E" w:rsidR="008212B5" w:rsidRPr="008212B5" w:rsidRDefault="008212B5" w:rsidP="008212B5">
      <w:pPr>
        <w:pStyle w:val="ListParagraph"/>
        <w:numPr>
          <w:ilvl w:val="0"/>
          <w:numId w:val="13"/>
        </w:numPr>
        <w:ind w:left="360"/>
        <w:rPr>
          <w:rFonts w:ascii="Arial" w:hAnsi="Arial" w:cs="Arial"/>
        </w:rPr>
      </w:pPr>
      <w:r>
        <w:rPr>
          <w:rFonts w:ascii="Arial" w:hAnsi="Arial" w:cs="Arial"/>
        </w:rPr>
        <w:t>D</w:t>
      </w:r>
      <w:r w:rsidRPr="008212B5">
        <w:rPr>
          <w:rFonts w:ascii="Arial" w:hAnsi="Arial" w:cs="Arial"/>
        </w:rPr>
        <w:t xml:space="preserve">etermining the effects of medication interventions </w:t>
      </w:r>
    </w:p>
    <w:p w14:paraId="33F75C6A" w14:textId="2EA0B1F1" w:rsidR="000B5913" w:rsidRPr="006777EA" w:rsidRDefault="000B5913" w:rsidP="008212B5">
      <w:pPr>
        <w:ind w:left="-420"/>
        <w:rPr>
          <w:rFonts w:ascii="Arial" w:hAnsi="Arial" w:cs="Arial"/>
          <w:b/>
          <w:bCs/>
        </w:rPr>
      </w:pPr>
    </w:p>
    <w:p w14:paraId="2060F715" w14:textId="3F74D32C" w:rsidR="001C43F6" w:rsidRDefault="001C43F6" w:rsidP="001C43F6">
      <w:pPr>
        <w:widowControl w:val="0"/>
        <w:tabs>
          <w:tab w:val="left" w:pos="838"/>
        </w:tabs>
        <w:ind w:right="119"/>
        <w:jc w:val="both"/>
        <w:rPr>
          <w:rFonts w:ascii="Arial" w:eastAsia="Arial" w:hAnsi="Arial" w:cs="Arial"/>
          <w:spacing w:val="-4"/>
          <w:szCs w:val="24"/>
          <w:lang w:val="en-US"/>
        </w:rPr>
      </w:pPr>
      <w:r w:rsidRPr="00CA76A7">
        <w:rPr>
          <w:rFonts w:ascii="Arial" w:eastAsia="Arial" w:hAnsi="Arial" w:cs="Arial"/>
          <w:b/>
          <w:bCs/>
          <w:spacing w:val="-4"/>
          <w:szCs w:val="24"/>
          <w:lang w:val="en-US"/>
        </w:rPr>
        <w:t>DVT Assessment and Management</w:t>
      </w:r>
      <w:r>
        <w:rPr>
          <w:rFonts w:ascii="Arial" w:eastAsia="Arial" w:hAnsi="Arial" w:cs="Arial"/>
          <w:spacing w:val="-4"/>
          <w:szCs w:val="24"/>
          <w:lang w:val="en-US"/>
        </w:rPr>
        <w:t xml:space="preserve"> </w:t>
      </w:r>
      <w:r w:rsidR="00CA76A7">
        <w:rPr>
          <w:rFonts w:ascii="Arial" w:eastAsia="Arial" w:hAnsi="Arial" w:cs="Arial"/>
          <w:spacing w:val="-4"/>
          <w:szCs w:val="24"/>
          <w:lang w:val="en-US"/>
        </w:rPr>
        <w:t>- A</w:t>
      </w:r>
      <w:r>
        <w:rPr>
          <w:rFonts w:ascii="Arial" w:eastAsia="Arial" w:hAnsi="Arial" w:cs="Arial"/>
          <w:spacing w:val="-4"/>
          <w:szCs w:val="24"/>
          <w:lang w:val="en-US"/>
        </w:rPr>
        <w:t>ssessment and management of suspected and confirmed deep-vein thrombosis in primary care.  Patients presenting with an acutely swollen leg will have</w:t>
      </w:r>
    </w:p>
    <w:p w14:paraId="42F3B227" w14:textId="77777777" w:rsidR="001C43F6" w:rsidRDefault="001C43F6" w:rsidP="001C43F6">
      <w:pPr>
        <w:pStyle w:val="ListParagraph"/>
        <w:widowControl w:val="0"/>
        <w:numPr>
          <w:ilvl w:val="0"/>
          <w:numId w:val="7"/>
        </w:numPr>
        <w:tabs>
          <w:tab w:val="left" w:pos="838"/>
        </w:tabs>
        <w:ind w:right="119"/>
        <w:jc w:val="both"/>
        <w:rPr>
          <w:rFonts w:ascii="Arial" w:eastAsia="Arial" w:hAnsi="Arial" w:cs="Arial"/>
          <w:spacing w:val="-4"/>
          <w:szCs w:val="24"/>
          <w:lang w:val="en-US"/>
        </w:rPr>
      </w:pPr>
      <w:r>
        <w:rPr>
          <w:rFonts w:ascii="Arial" w:eastAsia="Arial" w:hAnsi="Arial" w:cs="Arial"/>
          <w:spacing w:val="-4"/>
          <w:szCs w:val="24"/>
          <w:lang w:val="en-US"/>
        </w:rPr>
        <w:t>A validated assessment scoring method – Wells Probability (two level) score</w:t>
      </w:r>
    </w:p>
    <w:p w14:paraId="1A064DA0" w14:textId="77777777" w:rsidR="001C43F6" w:rsidRDefault="001C43F6" w:rsidP="001C43F6">
      <w:pPr>
        <w:pStyle w:val="ListParagraph"/>
        <w:widowControl w:val="0"/>
        <w:numPr>
          <w:ilvl w:val="0"/>
          <w:numId w:val="7"/>
        </w:numPr>
        <w:tabs>
          <w:tab w:val="left" w:pos="838"/>
        </w:tabs>
        <w:ind w:right="119"/>
        <w:jc w:val="both"/>
        <w:rPr>
          <w:rFonts w:ascii="Arial" w:eastAsia="Arial" w:hAnsi="Arial" w:cs="Arial"/>
          <w:spacing w:val="-4"/>
          <w:szCs w:val="24"/>
          <w:lang w:val="en-US"/>
        </w:rPr>
      </w:pPr>
      <w:r>
        <w:rPr>
          <w:rFonts w:ascii="Arial" w:eastAsia="Arial" w:hAnsi="Arial" w:cs="Arial"/>
          <w:spacing w:val="-4"/>
          <w:szCs w:val="24"/>
          <w:lang w:val="en-US"/>
        </w:rPr>
        <w:t>D-dimer test</w:t>
      </w:r>
    </w:p>
    <w:p w14:paraId="7EDCA33A" w14:textId="77777777" w:rsidR="001C43F6" w:rsidRDefault="001C43F6" w:rsidP="001C43F6">
      <w:pPr>
        <w:pStyle w:val="ListParagraph"/>
        <w:widowControl w:val="0"/>
        <w:numPr>
          <w:ilvl w:val="0"/>
          <w:numId w:val="7"/>
        </w:numPr>
        <w:tabs>
          <w:tab w:val="left" w:pos="838"/>
        </w:tabs>
        <w:ind w:right="119"/>
        <w:jc w:val="both"/>
        <w:rPr>
          <w:rFonts w:ascii="Arial" w:eastAsia="Arial" w:hAnsi="Arial" w:cs="Arial"/>
          <w:spacing w:val="-4"/>
          <w:szCs w:val="24"/>
          <w:lang w:val="en-US"/>
        </w:rPr>
      </w:pPr>
      <w:r>
        <w:rPr>
          <w:rFonts w:ascii="Arial" w:eastAsia="Arial" w:hAnsi="Arial" w:cs="Arial"/>
          <w:spacing w:val="-4"/>
          <w:szCs w:val="24"/>
          <w:lang w:val="en-US"/>
        </w:rPr>
        <w:t>Rapid access to diagnostics</w:t>
      </w:r>
    </w:p>
    <w:p w14:paraId="716ED96F" w14:textId="5C99773E" w:rsidR="001C43F6" w:rsidRDefault="001C43F6" w:rsidP="001C43F6">
      <w:pPr>
        <w:pStyle w:val="ListParagraph"/>
        <w:widowControl w:val="0"/>
        <w:numPr>
          <w:ilvl w:val="0"/>
          <w:numId w:val="7"/>
        </w:numPr>
        <w:tabs>
          <w:tab w:val="left" w:pos="838"/>
        </w:tabs>
        <w:ind w:right="119"/>
        <w:jc w:val="both"/>
        <w:rPr>
          <w:rFonts w:ascii="Arial" w:eastAsia="Arial" w:hAnsi="Arial" w:cs="Arial"/>
          <w:spacing w:val="-4"/>
          <w:szCs w:val="24"/>
          <w:lang w:val="en-US"/>
        </w:rPr>
      </w:pPr>
      <w:r>
        <w:rPr>
          <w:rFonts w:ascii="Arial" w:eastAsia="Arial" w:hAnsi="Arial" w:cs="Arial"/>
          <w:spacing w:val="-4"/>
          <w:szCs w:val="24"/>
          <w:lang w:val="en-US"/>
        </w:rPr>
        <w:t>For confirmed DVT – oral anticoagulant therapy and ongoing management</w:t>
      </w:r>
      <w:r w:rsidR="006777EA">
        <w:rPr>
          <w:rFonts w:ascii="Arial" w:eastAsia="Arial" w:hAnsi="Arial" w:cs="Arial"/>
          <w:spacing w:val="-4"/>
          <w:szCs w:val="24"/>
          <w:lang w:val="en-US"/>
        </w:rPr>
        <w:t xml:space="preserve"> – patients </w:t>
      </w:r>
      <w:proofErr w:type="gramStart"/>
      <w:r w:rsidR="006777EA">
        <w:rPr>
          <w:rFonts w:ascii="Arial" w:eastAsia="Arial" w:hAnsi="Arial" w:cs="Arial"/>
          <w:spacing w:val="-4"/>
          <w:szCs w:val="24"/>
          <w:lang w:val="en-US"/>
        </w:rPr>
        <w:t>transfers</w:t>
      </w:r>
      <w:proofErr w:type="gramEnd"/>
      <w:r w:rsidR="006777EA">
        <w:rPr>
          <w:rFonts w:ascii="Arial" w:eastAsia="Arial" w:hAnsi="Arial" w:cs="Arial"/>
          <w:spacing w:val="-4"/>
          <w:szCs w:val="24"/>
          <w:lang w:val="en-US"/>
        </w:rPr>
        <w:t xml:space="preserve"> to an Oral Anticoagulation Treatment Service</w:t>
      </w:r>
    </w:p>
    <w:p w14:paraId="1030D4BD" w14:textId="77777777" w:rsidR="001C43F6" w:rsidRPr="001C43F6" w:rsidRDefault="001C43F6" w:rsidP="001C43F6">
      <w:pPr>
        <w:rPr>
          <w:rFonts w:ascii="Arial" w:hAnsi="Arial" w:cs="Arial"/>
        </w:rPr>
      </w:pPr>
    </w:p>
    <w:p w14:paraId="6813A139" w14:textId="4E2245B4" w:rsidR="00C2164A" w:rsidRPr="008212B5" w:rsidRDefault="000B5913" w:rsidP="00C2164A">
      <w:pPr>
        <w:rPr>
          <w:rFonts w:ascii="Arial" w:hAnsi="Arial" w:cs="Arial"/>
        </w:rPr>
      </w:pPr>
      <w:r w:rsidRPr="008212B5">
        <w:rPr>
          <w:rFonts w:ascii="Arial" w:hAnsi="Arial" w:cs="Arial"/>
          <w:b/>
          <w:bCs/>
          <w:u w:val="single"/>
        </w:rPr>
        <w:t>Commissioned as a bundle of services</w:t>
      </w:r>
      <w:r>
        <w:rPr>
          <w:rFonts w:ascii="Arial" w:hAnsi="Arial" w:cs="Arial"/>
          <w:b/>
          <w:bCs/>
        </w:rPr>
        <w:t xml:space="preserve"> </w:t>
      </w:r>
      <w:r w:rsidR="008212B5">
        <w:rPr>
          <w:rFonts w:ascii="Arial" w:hAnsi="Arial" w:cs="Arial"/>
          <w:b/>
          <w:bCs/>
        </w:rPr>
        <w:t xml:space="preserve">– </w:t>
      </w:r>
      <w:r w:rsidR="008212B5">
        <w:rPr>
          <w:rFonts w:ascii="Arial" w:hAnsi="Arial" w:cs="Arial"/>
        </w:rPr>
        <w:t>these bundles are no longer offered</w:t>
      </w:r>
    </w:p>
    <w:p w14:paraId="7D0814B6" w14:textId="77777777" w:rsidR="008212B5" w:rsidRPr="000B5913" w:rsidRDefault="008212B5" w:rsidP="00C2164A">
      <w:pPr>
        <w:rPr>
          <w:rFonts w:ascii="Arial" w:hAnsi="Arial" w:cs="Arial"/>
          <w:b/>
          <w:bCs/>
        </w:rPr>
      </w:pPr>
    </w:p>
    <w:p w14:paraId="27EE2A46" w14:textId="77777777" w:rsidR="008212B5" w:rsidRPr="008212B5" w:rsidRDefault="00C2164A" w:rsidP="008212B5">
      <w:pPr>
        <w:rPr>
          <w:rFonts w:ascii="Arial" w:hAnsi="Arial" w:cs="Arial"/>
          <w:b/>
          <w:bCs/>
        </w:rPr>
      </w:pPr>
      <w:r w:rsidRPr="008212B5">
        <w:rPr>
          <w:rFonts w:ascii="Arial" w:hAnsi="Arial" w:cs="Arial"/>
          <w:b/>
          <w:bCs/>
        </w:rPr>
        <w:t>Routine ECG</w:t>
      </w:r>
      <w:r w:rsidR="008212B5" w:rsidRPr="008212B5">
        <w:rPr>
          <w:rFonts w:ascii="Arial" w:hAnsi="Arial" w:cs="Arial"/>
          <w:b/>
          <w:bCs/>
        </w:rPr>
        <w:t xml:space="preserve"> – </w:t>
      </w:r>
      <w:r w:rsidR="008212B5" w:rsidRPr="008212B5">
        <w:rPr>
          <w:rFonts w:ascii="Arial" w:hAnsi="Arial" w:cs="Arial"/>
        </w:rPr>
        <w:t>for detection of heart</w:t>
      </w:r>
      <w:r w:rsidR="008212B5" w:rsidRPr="008212B5">
        <w:rPr>
          <w:rFonts w:ascii="Arial" w:hAnsi="Arial" w:cs="Arial"/>
          <w:color w:val="040C28"/>
        </w:rPr>
        <w:t xml:space="preserve"> rate or rhythm problems and to inform requirement for referral to cardiology services</w:t>
      </w:r>
      <w:r w:rsidR="008212B5" w:rsidRPr="008212B5">
        <w:rPr>
          <w:rFonts w:ascii="Arial" w:hAnsi="Arial" w:cs="Arial"/>
          <w:color w:val="202124"/>
          <w:shd w:val="clear" w:color="auto" w:fill="FFFFFF"/>
        </w:rPr>
        <w:t xml:space="preserve">.  It can also help identify a heart attack or a previous one.  </w:t>
      </w:r>
    </w:p>
    <w:p w14:paraId="541CF613" w14:textId="6F54C251" w:rsidR="00C2164A" w:rsidRPr="008212B5" w:rsidRDefault="00C2164A" w:rsidP="008212B5">
      <w:pPr>
        <w:rPr>
          <w:rFonts w:ascii="Arial" w:hAnsi="Arial" w:cs="Arial"/>
          <w:b/>
          <w:bCs/>
        </w:rPr>
      </w:pPr>
    </w:p>
    <w:p w14:paraId="76192618" w14:textId="09223398" w:rsidR="00C2164A" w:rsidRPr="008212B5" w:rsidRDefault="00C2164A" w:rsidP="008212B5">
      <w:pPr>
        <w:rPr>
          <w:rFonts w:ascii="Arial" w:hAnsi="Arial" w:cs="Arial"/>
        </w:rPr>
      </w:pPr>
      <w:r w:rsidRPr="008212B5">
        <w:rPr>
          <w:rFonts w:ascii="Arial" w:hAnsi="Arial" w:cs="Arial"/>
          <w:b/>
          <w:bCs/>
        </w:rPr>
        <w:t>24 Hour Ambulatory ECG Monitoring</w:t>
      </w:r>
      <w:r w:rsidRPr="008212B5">
        <w:rPr>
          <w:rFonts w:ascii="Arial" w:hAnsi="Arial" w:cs="Arial"/>
        </w:rPr>
        <w:t xml:space="preserve"> </w:t>
      </w:r>
      <w:r w:rsidR="008212B5" w:rsidRPr="008212B5">
        <w:rPr>
          <w:rFonts w:ascii="Arial" w:hAnsi="Arial" w:cs="Arial"/>
        </w:rPr>
        <w:t xml:space="preserve">– see above </w:t>
      </w:r>
    </w:p>
    <w:p w14:paraId="3DD755D6" w14:textId="5E6FA347" w:rsidR="00C2164A" w:rsidRPr="008212B5" w:rsidRDefault="00C2164A" w:rsidP="008212B5">
      <w:pPr>
        <w:rPr>
          <w:rFonts w:ascii="Arial" w:hAnsi="Arial" w:cs="Arial"/>
        </w:rPr>
      </w:pPr>
      <w:r w:rsidRPr="008212B5">
        <w:rPr>
          <w:rFonts w:ascii="Arial" w:hAnsi="Arial" w:cs="Arial"/>
          <w:b/>
          <w:bCs/>
        </w:rPr>
        <w:t>24 Hour Ambulatory Blood Pressure Monitoring (ABPM)</w:t>
      </w:r>
      <w:r w:rsidR="006777EA" w:rsidRPr="008212B5">
        <w:rPr>
          <w:rFonts w:ascii="Arial" w:hAnsi="Arial" w:cs="Arial"/>
        </w:rPr>
        <w:t xml:space="preserve"> - for diagnosis and treatment of hypertension.</w:t>
      </w:r>
    </w:p>
    <w:p w14:paraId="0904DAF9" w14:textId="0B58F54C" w:rsidR="00C2164A" w:rsidRPr="008212B5" w:rsidRDefault="00C2164A" w:rsidP="008212B5">
      <w:pPr>
        <w:rPr>
          <w:rFonts w:ascii="Arial" w:hAnsi="Arial" w:cs="Arial"/>
        </w:rPr>
      </w:pPr>
      <w:r w:rsidRPr="008212B5">
        <w:rPr>
          <w:rFonts w:ascii="Arial" w:hAnsi="Arial" w:cs="Arial"/>
          <w:b/>
          <w:bCs/>
        </w:rPr>
        <w:t>Ear Irrigation</w:t>
      </w:r>
      <w:r w:rsidR="006777EA" w:rsidRPr="008212B5">
        <w:rPr>
          <w:rFonts w:ascii="Arial" w:hAnsi="Arial" w:cs="Arial"/>
        </w:rPr>
        <w:t xml:space="preserve"> </w:t>
      </w:r>
      <w:r w:rsidR="008212B5" w:rsidRPr="008212B5">
        <w:rPr>
          <w:rFonts w:ascii="Arial" w:hAnsi="Arial" w:cs="Arial"/>
        </w:rPr>
        <w:t xml:space="preserve">- </w:t>
      </w:r>
      <w:r w:rsidR="006777EA" w:rsidRPr="008212B5">
        <w:rPr>
          <w:rFonts w:ascii="Arial" w:hAnsi="Arial" w:cs="Arial"/>
        </w:rPr>
        <w:t xml:space="preserve">where clinically indicated only – no longer offered. </w:t>
      </w:r>
    </w:p>
    <w:p w14:paraId="1A5128F9" w14:textId="77777777" w:rsidR="00C2164A" w:rsidRPr="000B5913" w:rsidRDefault="00C2164A" w:rsidP="000B5913">
      <w:pPr>
        <w:rPr>
          <w:rFonts w:ascii="Arial" w:hAnsi="Arial" w:cs="Arial"/>
        </w:rPr>
      </w:pPr>
    </w:p>
    <w:p w14:paraId="6C02F4FB" w14:textId="77777777" w:rsidR="00C2164A" w:rsidRPr="000B5913" w:rsidRDefault="00C2164A" w:rsidP="00C2164A">
      <w:pPr>
        <w:rPr>
          <w:rFonts w:ascii="Arial" w:hAnsi="Arial" w:cs="Arial"/>
        </w:rPr>
      </w:pPr>
    </w:p>
    <w:p w14:paraId="285C3FD0" w14:textId="237F96FC" w:rsidR="004D406D" w:rsidRDefault="00C619EF">
      <w:pPr>
        <w:rPr>
          <w:rFonts w:ascii="Arial" w:hAnsi="Arial" w:cs="Arial"/>
        </w:rPr>
      </w:pPr>
      <w:r w:rsidRPr="009134FA">
        <w:rPr>
          <w:rFonts w:ascii="Arial" w:hAnsi="Arial" w:cs="Arial"/>
          <w:b/>
          <w:bCs/>
          <w:u w:val="single"/>
        </w:rPr>
        <w:t>Reporting</w:t>
      </w:r>
      <w:r>
        <w:rPr>
          <w:rFonts w:ascii="Arial" w:hAnsi="Arial" w:cs="Arial"/>
        </w:rPr>
        <w:t xml:space="preserve"> – currently there is no specific targets for any service linked to long term conditions over and above</w:t>
      </w:r>
      <w:r w:rsidR="009134FA">
        <w:rPr>
          <w:rFonts w:ascii="Arial" w:hAnsi="Arial" w:cs="Arial"/>
        </w:rPr>
        <w:t xml:space="preserve"> the requirements of</w:t>
      </w:r>
      <w:r>
        <w:rPr>
          <w:rFonts w:ascii="Arial" w:hAnsi="Arial" w:cs="Arial"/>
        </w:rPr>
        <w:t xml:space="preserve"> </w:t>
      </w:r>
      <w:proofErr w:type="spellStart"/>
      <w:r>
        <w:rPr>
          <w:rFonts w:ascii="Arial" w:hAnsi="Arial" w:cs="Arial"/>
        </w:rPr>
        <w:t>QoF</w:t>
      </w:r>
      <w:proofErr w:type="spellEnd"/>
      <w:r>
        <w:rPr>
          <w:rFonts w:ascii="Arial" w:hAnsi="Arial" w:cs="Arial"/>
        </w:rPr>
        <w:t xml:space="preserve"> / IIF.  </w:t>
      </w:r>
    </w:p>
    <w:p w14:paraId="3CB8996D" w14:textId="10E2B9A6" w:rsidR="00C619EF" w:rsidRDefault="00C619EF">
      <w:pPr>
        <w:rPr>
          <w:rFonts w:ascii="Arial" w:hAnsi="Arial" w:cs="Arial"/>
        </w:rPr>
      </w:pPr>
    </w:p>
    <w:p w14:paraId="41E4F010" w14:textId="06DA6ADC" w:rsidR="00C619EF" w:rsidRDefault="00C619EF">
      <w:pPr>
        <w:rPr>
          <w:rFonts w:ascii="Arial" w:hAnsi="Arial" w:cs="Arial"/>
        </w:rPr>
      </w:pPr>
    </w:p>
    <w:p w14:paraId="0442339F" w14:textId="71BA07CF" w:rsidR="00C619EF" w:rsidRPr="000B5913" w:rsidRDefault="00C619EF">
      <w:pPr>
        <w:rPr>
          <w:rFonts w:ascii="Arial" w:hAnsi="Arial" w:cs="Arial"/>
        </w:rPr>
      </w:pPr>
      <w:r>
        <w:rPr>
          <w:rFonts w:eastAsia="Times New Roman"/>
        </w:rPr>
        <w:br/>
      </w:r>
    </w:p>
    <w:sectPr w:rsidR="00C619EF" w:rsidRPr="000B5913" w:rsidSect="008212B5">
      <w:pgSz w:w="11906" w:h="16838"/>
      <w:pgMar w:top="1276" w:right="1440" w:bottom="1418"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0C0262"/>
    <w:multiLevelType w:val="hybridMultilevel"/>
    <w:tmpl w:val="167AAAB2"/>
    <w:lvl w:ilvl="0" w:tplc="368E55BE">
      <w:start w:val="1"/>
      <w:numFmt w:val="bullet"/>
      <w:lvlText w:val=""/>
      <w:lvlJc w:val="left"/>
      <w:pPr>
        <w:ind w:left="360" w:hanging="360"/>
      </w:pPr>
      <w:rPr>
        <w:rFonts w:ascii="Symbol" w:hAnsi="Symbol" w:hint="default"/>
        <w:color w:val="auto"/>
        <w:spacing w:val="-1"/>
        <w:sz w:val="22"/>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21921903"/>
    <w:multiLevelType w:val="hybridMultilevel"/>
    <w:tmpl w:val="951030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28EE703D"/>
    <w:multiLevelType w:val="hybridMultilevel"/>
    <w:tmpl w:val="5D9A585C"/>
    <w:lvl w:ilvl="0" w:tplc="08090001">
      <w:start w:val="1"/>
      <w:numFmt w:val="bullet"/>
      <w:lvlText w:val=""/>
      <w:lvlJc w:val="left"/>
      <w:pPr>
        <w:ind w:left="360" w:hanging="360"/>
      </w:pPr>
      <w:rPr>
        <w:rFonts w:ascii="Symbol" w:hAnsi="Symbol" w:hint="default"/>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3" w15:restartNumberingAfterBreak="0">
    <w:nsid w:val="3AB44739"/>
    <w:multiLevelType w:val="hybridMultilevel"/>
    <w:tmpl w:val="6C0ED500"/>
    <w:lvl w:ilvl="0" w:tplc="368E55BE">
      <w:start w:val="1"/>
      <w:numFmt w:val="bullet"/>
      <w:lvlText w:val=""/>
      <w:lvlJc w:val="left"/>
      <w:pPr>
        <w:ind w:left="360" w:hanging="360"/>
      </w:pPr>
      <w:rPr>
        <w:rFonts w:ascii="Symbol" w:hAnsi="Symbol" w:hint="default"/>
        <w:color w:val="auto"/>
        <w:spacing w:val="-1"/>
        <w:sz w:val="22"/>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461377A3"/>
    <w:multiLevelType w:val="hybridMultilevel"/>
    <w:tmpl w:val="DD0CD8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4665490D"/>
    <w:multiLevelType w:val="hybridMultilevel"/>
    <w:tmpl w:val="94E8252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6" w15:restartNumberingAfterBreak="0">
    <w:nsid w:val="528D43E9"/>
    <w:multiLevelType w:val="hybridMultilevel"/>
    <w:tmpl w:val="23108CE0"/>
    <w:lvl w:ilvl="0" w:tplc="08090001">
      <w:start w:val="1"/>
      <w:numFmt w:val="bullet"/>
      <w:lvlText w:val=""/>
      <w:lvlJc w:val="left"/>
      <w:pPr>
        <w:ind w:left="1080" w:hanging="72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5CBD18A4"/>
    <w:multiLevelType w:val="hybridMultilevel"/>
    <w:tmpl w:val="9926D6E2"/>
    <w:lvl w:ilvl="0" w:tplc="FFFFFFFF">
      <w:start w:val="1"/>
      <w:numFmt w:val="decimal"/>
      <w:lvlText w:val="%1)"/>
      <w:lvlJc w:val="left"/>
      <w:pPr>
        <w:ind w:left="420" w:hanging="360"/>
      </w:pPr>
      <w:rPr>
        <w:rFonts w:hint="default"/>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8" w15:restartNumberingAfterBreak="0">
    <w:nsid w:val="647774AD"/>
    <w:multiLevelType w:val="hybridMultilevel"/>
    <w:tmpl w:val="43A2045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9" w15:restartNumberingAfterBreak="0">
    <w:nsid w:val="65326F06"/>
    <w:multiLevelType w:val="hybridMultilevel"/>
    <w:tmpl w:val="343E8E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9C877D8"/>
    <w:multiLevelType w:val="hybridMultilevel"/>
    <w:tmpl w:val="F69A1E44"/>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num w:numId="1" w16cid:durableId="1689256097">
    <w:abstractNumId w:val="4"/>
  </w:num>
  <w:num w:numId="2" w16cid:durableId="804279006">
    <w:abstractNumId w:val="9"/>
  </w:num>
  <w:num w:numId="3" w16cid:durableId="1813792901">
    <w:abstractNumId w:val="8"/>
  </w:num>
  <w:num w:numId="4" w16cid:durableId="225184127">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606960068">
    <w:abstractNumId w:val="0"/>
  </w:num>
  <w:num w:numId="6" w16cid:durableId="213391923">
    <w:abstractNumId w:val="3"/>
  </w:num>
  <w:num w:numId="7" w16cid:durableId="421489136">
    <w:abstractNumId w:val="5"/>
  </w:num>
  <w:num w:numId="8" w16cid:durableId="1904951532">
    <w:abstractNumId w:val="1"/>
  </w:num>
  <w:num w:numId="9" w16cid:durableId="1003824056">
    <w:abstractNumId w:val="6"/>
  </w:num>
  <w:num w:numId="10" w16cid:durableId="1266961557">
    <w:abstractNumId w:val="7"/>
  </w:num>
  <w:num w:numId="11" w16cid:durableId="649675525">
    <w:abstractNumId w:val="0"/>
  </w:num>
  <w:num w:numId="12" w16cid:durableId="1387492604">
    <w:abstractNumId w:val="2"/>
  </w:num>
  <w:num w:numId="13" w16cid:durableId="53308058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164A"/>
    <w:rsid w:val="000B5913"/>
    <w:rsid w:val="001C43F6"/>
    <w:rsid w:val="00224754"/>
    <w:rsid w:val="004D406D"/>
    <w:rsid w:val="006777EA"/>
    <w:rsid w:val="008212B5"/>
    <w:rsid w:val="009134FA"/>
    <w:rsid w:val="00A976ED"/>
    <w:rsid w:val="00C2164A"/>
    <w:rsid w:val="00C619EF"/>
    <w:rsid w:val="00CA76A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6164C4"/>
  <w15:chartTrackingRefBased/>
  <w15:docId w15:val="{D26149A3-9FA7-4823-B12A-D5E29A8F44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2164A"/>
    <w:pPr>
      <w:spacing w:after="0" w:line="240" w:lineRule="auto"/>
    </w:pPr>
    <w:rPr>
      <w:rFonts w:ascii="Calibri" w:hAnsi="Calibri" w:cs="Calibri"/>
    </w:rPr>
  </w:style>
  <w:style w:type="paragraph" w:styleId="Heading1">
    <w:name w:val="heading 1"/>
    <w:basedOn w:val="Normal"/>
    <w:link w:val="Heading1Char"/>
    <w:uiPriority w:val="9"/>
    <w:qFormat/>
    <w:rsid w:val="00C2164A"/>
    <w:pPr>
      <w:spacing w:before="100" w:beforeAutospacing="1" w:after="100" w:afterAutospacing="1"/>
      <w:outlineLvl w:val="0"/>
    </w:pPr>
    <w:rPr>
      <w:rFonts w:ascii="Times New Roman" w:eastAsia="Times New Roman" w:hAnsi="Times New Roman" w:cs="Times New Roman"/>
      <w:b/>
      <w:bCs/>
      <w:kern w:val="36"/>
      <w:sz w:val="48"/>
      <w:szCs w:val="48"/>
      <w:lang w:eastAsia="en-GB"/>
    </w:rPr>
  </w:style>
  <w:style w:type="paragraph" w:styleId="Heading2">
    <w:name w:val="heading 2"/>
    <w:basedOn w:val="Normal"/>
    <w:link w:val="Heading2Char"/>
    <w:uiPriority w:val="9"/>
    <w:qFormat/>
    <w:rsid w:val="00C2164A"/>
    <w:pPr>
      <w:spacing w:before="100" w:beforeAutospacing="1" w:after="100" w:afterAutospacing="1"/>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2164A"/>
    <w:rPr>
      <w:rFonts w:ascii="Times New Roman" w:eastAsia="Times New Roman" w:hAnsi="Times New Roman" w:cs="Times New Roman"/>
      <w:b/>
      <w:bCs/>
      <w:kern w:val="36"/>
      <w:sz w:val="48"/>
      <w:szCs w:val="48"/>
      <w:lang w:eastAsia="en-GB"/>
    </w:rPr>
  </w:style>
  <w:style w:type="character" w:customStyle="1" w:styleId="Heading2Char">
    <w:name w:val="Heading 2 Char"/>
    <w:basedOn w:val="DefaultParagraphFont"/>
    <w:link w:val="Heading2"/>
    <w:uiPriority w:val="9"/>
    <w:rsid w:val="00C2164A"/>
    <w:rPr>
      <w:rFonts w:ascii="Times New Roman" w:eastAsia="Times New Roman" w:hAnsi="Times New Roman" w:cs="Times New Roman"/>
      <w:b/>
      <w:bCs/>
      <w:sz w:val="36"/>
      <w:szCs w:val="36"/>
      <w:lang w:eastAsia="en-GB"/>
    </w:rPr>
  </w:style>
  <w:style w:type="paragraph" w:styleId="NormalWeb">
    <w:name w:val="Normal (Web)"/>
    <w:basedOn w:val="Normal"/>
    <w:uiPriority w:val="99"/>
    <w:semiHidden/>
    <w:unhideWhenUsed/>
    <w:rsid w:val="00C2164A"/>
    <w:pPr>
      <w:spacing w:before="100" w:beforeAutospacing="1" w:after="100" w:afterAutospacing="1"/>
    </w:pPr>
    <w:rPr>
      <w:rFonts w:ascii="Times New Roman" w:eastAsia="Times New Roman" w:hAnsi="Times New Roman" w:cs="Times New Roman"/>
      <w:sz w:val="24"/>
      <w:szCs w:val="24"/>
      <w:lang w:eastAsia="en-GB"/>
    </w:rPr>
  </w:style>
  <w:style w:type="character" w:customStyle="1" w:styleId="hero-banner-meta-itemlabel">
    <w:name w:val="hero-banner-meta-item__label"/>
    <w:basedOn w:val="DefaultParagraphFont"/>
    <w:rsid w:val="00C2164A"/>
  </w:style>
  <w:style w:type="character" w:customStyle="1" w:styleId="hero-banner-meta-itemvalue">
    <w:name w:val="hero-banner-meta-item__value"/>
    <w:basedOn w:val="DefaultParagraphFont"/>
    <w:rsid w:val="00C2164A"/>
  </w:style>
  <w:style w:type="character" w:styleId="Hyperlink">
    <w:name w:val="Hyperlink"/>
    <w:basedOn w:val="DefaultParagraphFont"/>
    <w:uiPriority w:val="99"/>
    <w:semiHidden/>
    <w:unhideWhenUsed/>
    <w:rsid w:val="00C2164A"/>
    <w:rPr>
      <w:color w:val="0000FF"/>
      <w:u w:val="single"/>
    </w:rPr>
  </w:style>
  <w:style w:type="paragraph" w:styleId="ListParagraph">
    <w:name w:val="List Paragraph"/>
    <w:aliases w:val="Numbered Para 1,Dot pt,No Spacing1,List Paragraph Char Char Char,Indicator Text,List Paragraph1,Bullet Points,MAIN CONTENT,F5 List Paragraph,List Paragraph12,Colorful List - Accent 11,Normal numbered,OBC Bullet,List Paragraph2,L,Bullet 1"/>
    <w:basedOn w:val="Normal"/>
    <w:link w:val="ListParagraphChar"/>
    <w:uiPriority w:val="34"/>
    <w:qFormat/>
    <w:rsid w:val="000B5913"/>
    <w:pPr>
      <w:ind w:left="720"/>
      <w:contextualSpacing/>
    </w:pPr>
  </w:style>
  <w:style w:type="character" w:customStyle="1" w:styleId="ListParagraphChar">
    <w:name w:val="List Paragraph Char"/>
    <w:aliases w:val="Numbered Para 1 Char,Dot pt Char,No Spacing1 Char,List Paragraph Char Char Char Char,Indicator Text Char,List Paragraph1 Char,Bullet Points Char,MAIN CONTENT Char,F5 List Paragraph Char,List Paragraph12 Char,Normal numbered Char"/>
    <w:link w:val="ListParagraph"/>
    <w:uiPriority w:val="34"/>
    <w:qFormat/>
    <w:locked/>
    <w:rsid w:val="001C43F6"/>
    <w:rPr>
      <w:rFonts w:ascii="Calibri" w:hAnsi="Calibri" w:cs="Calibri"/>
    </w:rPr>
  </w:style>
  <w:style w:type="paragraph" w:customStyle="1" w:styleId="TableParagraph">
    <w:name w:val="Table Paragraph"/>
    <w:basedOn w:val="Normal"/>
    <w:uiPriority w:val="1"/>
    <w:qFormat/>
    <w:rsid w:val="006777EA"/>
    <w:pPr>
      <w:widowControl w:val="0"/>
    </w:pPr>
    <w:rPr>
      <w:rFonts w:asciiTheme="minorHAnsi" w:hAnsiTheme="minorHAnsi" w:cstheme="minorBid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9594614">
      <w:bodyDiv w:val="1"/>
      <w:marLeft w:val="0"/>
      <w:marRight w:val="0"/>
      <w:marTop w:val="0"/>
      <w:marBottom w:val="0"/>
      <w:divBdr>
        <w:top w:val="none" w:sz="0" w:space="0" w:color="auto"/>
        <w:left w:val="none" w:sz="0" w:space="0" w:color="auto"/>
        <w:bottom w:val="none" w:sz="0" w:space="0" w:color="auto"/>
        <w:right w:val="none" w:sz="0" w:space="0" w:color="auto"/>
      </w:divBdr>
      <w:divsChild>
        <w:div w:id="205802878">
          <w:marLeft w:val="0"/>
          <w:marRight w:val="0"/>
          <w:marTop w:val="0"/>
          <w:marBottom w:val="900"/>
          <w:divBdr>
            <w:top w:val="none" w:sz="0" w:space="0" w:color="auto"/>
            <w:left w:val="none" w:sz="0" w:space="0" w:color="auto"/>
            <w:bottom w:val="none" w:sz="0" w:space="0" w:color="auto"/>
            <w:right w:val="none" w:sz="0" w:space="0" w:color="auto"/>
          </w:divBdr>
          <w:divsChild>
            <w:div w:id="2139646403">
              <w:marLeft w:val="0"/>
              <w:marRight w:val="0"/>
              <w:marTop w:val="0"/>
              <w:marBottom w:val="0"/>
              <w:divBdr>
                <w:top w:val="none" w:sz="0" w:space="0" w:color="auto"/>
                <w:left w:val="none" w:sz="0" w:space="0" w:color="auto"/>
                <w:bottom w:val="none" w:sz="0" w:space="0" w:color="auto"/>
                <w:right w:val="none" w:sz="0" w:space="0" w:color="auto"/>
              </w:divBdr>
              <w:divsChild>
                <w:div w:id="1891574139">
                  <w:marLeft w:val="-150"/>
                  <w:marRight w:val="-150"/>
                  <w:marTop w:val="0"/>
                  <w:marBottom w:val="0"/>
                  <w:divBdr>
                    <w:top w:val="none" w:sz="0" w:space="0" w:color="auto"/>
                    <w:left w:val="none" w:sz="0" w:space="0" w:color="auto"/>
                    <w:bottom w:val="none" w:sz="0" w:space="0" w:color="auto"/>
                    <w:right w:val="none" w:sz="0" w:space="0" w:color="auto"/>
                  </w:divBdr>
                  <w:divsChild>
                    <w:div w:id="1750610772">
                      <w:marLeft w:val="0"/>
                      <w:marRight w:val="0"/>
                      <w:marTop w:val="0"/>
                      <w:marBottom w:val="0"/>
                      <w:divBdr>
                        <w:top w:val="none" w:sz="0" w:space="0" w:color="auto"/>
                        <w:left w:val="none" w:sz="0" w:space="0" w:color="auto"/>
                        <w:bottom w:val="none" w:sz="0" w:space="0" w:color="auto"/>
                        <w:right w:val="none" w:sz="0" w:space="0" w:color="auto"/>
                      </w:divBdr>
                      <w:divsChild>
                        <w:div w:id="1032418191">
                          <w:marLeft w:val="0"/>
                          <w:marRight w:val="0"/>
                          <w:marTop w:val="0"/>
                          <w:marBottom w:val="0"/>
                          <w:divBdr>
                            <w:top w:val="none" w:sz="0" w:space="0" w:color="auto"/>
                            <w:left w:val="none" w:sz="0" w:space="0" w:color="auto"/>
                            <w:bottom w:val="none" w:sz="0" w:space="0" w:color="auto"/>
                            <w:right w:val="none" w:sz="0" w:space="0" w:color="auto"/>
                          </w:divBdr>
                          <w:divsChild>
                            <w:div w:id="262567364">
                              <w:marLeft w:val="0"/>
                              <w:marRight w:val="0"/>
                              <w:marTop w:val="0"/>
                              <w:marBottom w:val="0"/>
                              <w:divBdr>
                                <w:top w:val="none" w:sz="0" w:space="0" w:color="auto"/>
                                <w:left w:val="none" w:sz="0" w:space="0" w:color="auto"/>
                                <w:bottom w:val="none" w:sz="0" w:space="0" w:color="auto"/>
                                <w:right w:val="none" w:sz="0" w:space="0" w:color="auto"/>
                              </w:divBdr>
                              <w:divsChild>
                                <w:div w:id="1273243060">
                                  <w:marLeft w:val="0"/>
                                  <w:marRight w:val="240"/>
                                  <w:marTop w:val="0"/>
                                  <w:marBottom w:val="0"/>
                                  <w:divBdr>
                                    <w:top w:val="none" w:sz="0" w:space="0" w:color="auto"/>
                                    <w:left w:val="none" w:sz="0" w:space="0" w:color="auto"/>
                                    <w:bottom w:val="none" w:sz="0" w:space="0" w:color="auto"/>
                                    <w:right w:val="none" w:sz="0" w:space="0" w:color="auto"/>
                                  </w:divBdr>
                                  <w:divsChild>
                                    <w:div w:id="1528182249">
                                      <w:marLeft w:val="0"/>
                                      <w:marRight w:val="0"/>
                                      <w:marTop w:val="0"/>
                                      <w:marBottom w:val="0"/>
                                      <w:divBdr>
                                        <w:top w:val="none" w:sz="0" w:space="0" w:color="auto"/>
                                        <w:left w:val="none" w:sz="0" w:space="0" w:color="auto"/>
                                        <w:bottom w:val="none" w:sz="0" w:space="0" w:color="auto"/>
                                        <w:right w:val="none" w:sz="0" w:space="0" w:color="auto"/>
                                      </w:divBdr>
                                    </w:div>
                                  </w:divsChild>
                                </w:div>
                                <w:div w:id="826632358">
                                  <w:marLeft w:val="0"/>
                                  <w:marRight w:val="240"/>
                                  <w:marTop w:val="0"/>
                                  <w:marBottom w:val="0"/>
                                  <w:divBdr>
                                    <w:top w:val="none" w:sz="0" w:space="0" w:color="auto"/>
                                    <w:left w:val="none" w:sz="0" w:space="0" w:color="auto"/>
                                    <w:bottom w:val="none" w:sz="0" w:space="0" w:color="auto"/>
                                    <w:right w:val="none" w:sz="0" w:space="0" w:color="auto"/>
                                  </w:divBdr>
                                  <w:divsChild>
                                    <w:div w:id="2037466778">
                                      <w:marLeft w:val="0"/>
                                      <w:marRight w:val="0"/>
                                      <w:marTop w:val="0"/>
                                      <w:marBottom w:val="0"/>
                                      <w:divBdr>
                                        <w:top w:val="none" w:sz="0" w:space="0" w:color="auto"/>
                                        <w:left w:val="none" w:sz="0" w:space="0" w:color="auto"/>
                                        <w:bottom w:val="none" w:sz="0" w:space="0" w:color="auto"/>
                                        <w:right w:val="none" w:sz="0" w:space="0" w:color="auto"/>
                                      </w:divBdr>
                                    </w:div>
                                  </w:divsChild>
                                </w:div>
                                <w:div w:id="107311152">
                                  <w:marLeft w:val="0"/>
                                  <w:marRight w:val="240"/>
                                  <w:marTop w:val="0"/>
                                  <w:marBottom w:val="0"/>
                                  <w:divBdr>
                                    <w:top w:val="none" w:sz="0" w:space="0" w:color="auto"/>
                                    <w:left w:val="none" w:sz="0" w:space="0" w:color="auto"/>
                                    <w:bottom w:val="none" w:sz="0" w:space="0" w:color="auto"/>
                                    <w:right w:val="none" w:sz="0" w:space="0" w:color="auto"/>
                                  </w:divBdr>
                                  <w:divsChild>
                                    <w:div w:id="1341471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4689532">
                              <w:marLeft w:val="0"/>
                              <w:marRight w:val="0"/>
                              <w:marTop w:val="0"/>
                              <w:marBottom w:val="0"/>
                              <w:divBdr>
                                <w:top w:val="none" w:sz="0" w:space="0" w:color="auto"/>
                                <w:left w:val="none" w:sz="0" w:space="0" w:color="auto"/>
                                <w:bottom w:val="none" w:sz="0" w:space="0" w:color="auto"/>
                                <w:right w:val="none" w:sz="0" w:space="0" w:color="auto"/>
                              </w:divBdr>
                              <w:divsChild>
                                <w:div w:id="2082408985">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 w:id="792480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4150881">
          <w:marLeft w:val="0"/>
          <w:marRight w:val="0"/>
          <w:marTop w:val="0"/>
          <w:marBottom w:val="0"/>
          <w:divBdr>
            <w:top w:val="none" w:sz="0" w:space="0" w:color="auto"/>
            <w:left w:val="none" w:sz="0" w:space="0" w:color="auto"/>
            <w:bottom w:val="none" w:sz="0" w:space="0" w:color="auto"/>
            <w:right w:val="none" w:sz="0" w:space="0" w:color="auto"/>
          </w:divBdr>
          <w:divsChild>
            <w:div w:id="1330065387">
              <w:marLeft w:val="-150"/>
              <w:marRight w:val="-150"/>
              <w:marTop w:val="0"/>
              <w:marBottom w:val="0"/>
              <w:divBdr>
                <w:top w:val="none" w:sz="0" w:space="0" w:color="auto"/>
                <w:left w:val="none" w:sz="0" w:space="0" w:color="auto"/>
                <w:bottom w:val="none" w:sz="0" w:space="0" w:color="auto"/>
                <w:right w:val="none" w:sz="0" w:space="0" w:color="auto"/>
              </w:divBdr>
              <w:divsChild>
                <w:div w:id="1491293615">
                  <w:marLeft w:val="0"/>
                  <w:marRight w:val="0"/>
                  <w:marTop w:val="0"/>
                  <w:marBottom w:val="0"/>
                  <w:divBdr>
                    <w:top w:val="none" w:sz="0" w:space="0" w:color="auto"/>
                    <w:left w:val="none" w:sz="0" w:space="0" w:color="auto"/>
                    <w:bottom w:val="none" w:sz="0" w:space="0" w:color="auto"/>
                    <w:right w:val="none" w:sz="0" w:space="0" w:color="auto"/>
                  </w:divBdr>
                  <w:divsChild>
                    <w:div w:id="239952205">
                      <w:marLeft w:val="-150"/>
                      <w:marRight w:val="-150"/>
                      <w:marTop w:val="0"/>
                      <w:marBottom w:val="0"/>
                      <w:divBdr>
                        <w:top w:val="none" w:sz="0" w:space="0" w:color="auto"/>
                        <w:left w:val="none" w:sz="0" w:space="0" w:color="auto"/>
                        <w:bottom w:val="none" w:sz="0" w:space="0" w:color="auto"/>
                        <w:right w:val="none" w:sz="0" w:space="0" w:color="auto"/>
                      </w:divBdr>
                      <w:divsChild>
                        <w:div w:id="1962686883">
                          <w:marLeft w:val="967"/>
                          <w:marRight w:val="0"/>
                          <w:marTop w:val="0"/>
                          <w:marBottom w:val="0"/>
                          <w:divBdr>
                            <w:top w:val="none" w:sz="0" w:space="0" w:color="auto"/>
                            <w:left w:val="none" w:sz="0" w:space="0" w:color="auto"/>
                            <w:bottom w:val="none" w:sz="0" w:space="0" w:color="auto"/>
                            <w:right w:val="none" w:sz="0" w:space="0" w:color="auto"/>
                          </w:divBdr>
                        </w:div>
                        <w:div w:id="1012144785">
                          <w:marLeft w:val="967"/>
                          <w:marRight w:val="0"/>
                          <w:marTop w:val="0"/>
                          <w:marBottom w:val="0"/>
                          <w:divBdr>
                            <w:top w:val="none" w:sz="0" w:space="0" w:color="auto"/>
                            <w:left w:val="none" w:sz="0" w:space="0" w:color="auto"/>
                            <w:bottom w:val="none" w:sz="0" w:space="0" w:color="auto"/>
                            <w:right w:val="none" w:sz="0" w:space="0" w:color="auto"/>
                          </w:divBdr>
                        </w:div>
                        <w:div w:id="1233615967">
                          <w:marLeft w:val="967"/>
                          <w:marRight w:val="0"/>
                          <w:marTop w:val="0"/>
                          <w:marBottom w:val="0"/>
                          <w:divBdr>
                            <w:top w:val="none" w:sz="0" w:space="0" w:color="auto"/>
                            <w:left w:val="none" w:sz="0" w:space="0" w:color="auto"/>
                            <w:bottom w:val="none" w:sz="0" w:space="0" w:color="auto"/>
                            <w:right w:val="none" w:sz="0" w:space="0" w:color="auto"/>
                          </w:divBdr>
                        </w:div>
                        <w:div w:id="2109081064">
                          <w:marLeft w:val="96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6090806">
      <w:bodyDiv w:val="1"/>
      <w:marLeft w:val="0"/>
      <w:marRight w:val="0"/>
      <w:marTop w:val="0"/>
      <w:marBottom w:val="0"/>
      <w:divBdr>
        <w:top w:val="none" w:sz="0" w:space="0" w:color="auto"/>
        <w:left w:val="none" w:sz="0" w:space="0" w:color="auto"/>
        <w:bottom w:val="none" w:sz="0" w:space="0" w:color="auto"/>
        <w:right w:val="none" w:sz="0" w:space="0" w:color="auto"/>
      </w:divBdr>
      <w:divsChild>
        <w:div w:id="1308050012">
          <w:marLeft w:val="0"/>
          <w:marRight w:val="0"/>
          <w:marTop w:val="0"/>
          <w:marBottom w:val="900"/>
          <w:divBdr>
            <w:top w:val="none" w:sz="0" w:space="0" w:color="auto"/>
            <w:left w:val="none" w:sz="0" w:space="0" w:color="auto"/>
            <w:bottom w:val="none" w:sz="0" w:space="0" w:color="auto"/>
            <w:right w:val="none" w:sz="0" w:space="0" w:color="auto"/>
          </w:divBdr>
          <w:divsChild>
            <w:div w:id="1981761750">
              <w:marLeft w:val="0"/>
              <w:marRight w:val="0"/>
              <w:marTop w:val="0"/>
              <w:marBottom w:val="0"/>
              <w:divBdr>
                <w:top w:val="none" w:sz="0" w:space="0" w:color="auto"/>
                <w:left w:val="none" w:sz="0" w:space="0" w:color="auto"/>
                <w:bottom w:val="none" w:sz="0" w:space="0" w:color="auto"/>
                <w:right w:val="none" w:sz="0" w:space="0" w:color="auto"/>
              </w:divBdr>
              <w:divsChild>
                <w:div w:id="1355961436">
                  <w:marLeft w:val="-150"/>
                  <w:marRight w:val="-150"/>
                  <w:marTop w:val="0"/>
                  <w:marBottom w:val="0"/>
                  <w:divBdr>
                    <w:top w:val="none" w:sz="0" w:space="0" w:color="auto"/>
                    <w:left w:val="none" w:sz="0" w:space="0" w:color="auto"/>
                    <w:bottom w:val="none" w:sz="0" w:space="0" w:color="auto"/>
                    <w:right w:val="none" w:sz="0" w:space="0" w:color="auto"/>
                  </w:divBdr>
                  <w:divsChild>
                    <w:div w:id="1761293717">
                      <w:marLeft w:val="0"/>
                      <w:marRight w:val="0"/>
                      <w:marTop w:val="0"/>
                      <w:marBottom w:val="0"/>
                      <w:divBdr>
                        <w:top w:val="none" w:sz="0" w:space="0" w:color="auto"/>
                        <w:left w:val="none" w:sz="0" w:space="0" w:color="auto"/>
                        <w:bottom w:val="none" w:sz="0" w:space="0" w:color="auto"/>
                        <w:right w:val="none" w:sz="0" w:space="0" w:color="auto"/>
                      </w:divBdr>
                      <w:divsChild>
                        <w:div w:id="535897467">
                          <w:marLeft w:val="0"/>
                          <w:marRight w:val="0"/>
                          <w:marTop w:val="0"/>
                          <w:marBottom w:val="0"/>
                          <w:divBdr>
                            <w:top w:val="none" w:sz="0" w:space="0" w:color="auto"/>
                            <w:left w:val="none" w:sz="0" w:space="0" w:color="auto"/>
                            <w:bottom w:val="none" w:sz="0" w:space="0" w:color="auto"/>
                            <w:right w:val="none" w:sz="0" w:space="0" w:color="auto"/>
                          </w:divBdr>
                          <w:divsChild>
                            <w:div w:id="534663460">
                              <w:marLeft w:val="0"/>
                              <w:marRight w:val="0"/>
                              <w:marTop w:val="0"/>
                              <w:marBottom w:val="0"/>
                              <w:divBdr>
                                <w:top w:val="none" w:sz="0" w:space="0" w:color="auto"/>
                                <w:left w:val="none" w:sz="0" w:space="0" w:color="auto"/>
                                <w:bottom w:val="none" w:sz="0" w:space="0" w:color="auto"/>
                                <w:right w:val="none" w:sz="0" w:space="0" w:color="auto"/>
                              </w:divBdr>
                              <w:divsChild>
                                <w:div w:id="1031152361">
                                  <w:marLeft w:val="0"/>
                                  <w:marRight w:val="240"/>
                                  <w:marTop w:val="0"/>
                                  <w:marBottom w:val="0"/>
                                  <w:divBdr>
                                    <w:top w:val="none" w:sz="0" w:space="0" w:color="auto"/>
                                    <w:left w:val="none" w:sz="0" w:space="0" w:color="auto"/>
                                    <w:bottom w:val="none" w:sz="0" w:space="0" w:color="auto"/>
                                    <w:right w:val="none" w:sz="0" w:space="0" w:color="auto"/>
                                  </w:divBdr>
                                  <w:divsChild>
                                    <w:div w:id="19938016">
                                      <w:marLeft w:val="0"/>
                                      <w:marRight w:val="0"/>
                                      <w:marTop w:val="0"/>
                                      <w:marBottom w:val="0"/>
                                      <w:divBdr>
                                        <w:top w:val="none" w:sz="0" w:space="0" w:color="auto"/>
                                        <w:left w:val="none" w:sz="0" w:space="0" w:color="auto"/>
                                        <w:bottom w:val="none" w:sz="0" w:space="0" w:color="auto"/>
                                        <w:right w:val="none" w:sz="0" w:space="0" w:color="auto"/>
                                      </w:divBdr>
                                    </w:div>
                                  </w:divsChild>
                                </w:div>
                                <w:div w:id="1981953286">
                                  <w:marLeft w:val="0"/>
                                  <w:marRight w:val="240"/>
                                  <w:marTop w:val="0"/>
                                  <w:marBottom w:val="0"/>
                                  <w:divBdr>
                                    <w:top w:val="none" w:sz="0" w:space="0" w:color="auto"/>
                                    <w:left w:val="none" w:sz="0" w:space="0" w:color="auto"/>
                                    <w:bottom w:val="none" w:sz="0" w:space="0" w:color="auto"/>
                                    <w:right w:val="none" w:sz="0" w:space="0" w:color="auto"/>
                                  </w:divBdr>
                                  <w:divsChild>
                                    <w:div w:id="1247878659">
                                      <w:marLeft w:val="0"/>
                                      <w:marRight w:val="0"/>
                                      <w:marTop w:val="0"/>
                                      <w:marBottom w:val="0"/>
                                      <w:divBdr>
                                        <w:top w:val="none" w:sz="0" w:space="0" w:color="auto"/>
                                        <w:left w:val="none" w:sz="0" w:space="0" w:color="auto"/>
                                        <w:bottom w:val="none" w:sz="0" w:space="0" w:color="auto"/>
                                        <w:right w:val="none" w:sz="0" w:space="0" w:color="auto"/>
                                      </w:divBdr>
                                    </w:div>
                                  </w:divsChild>
                                </w:div>
                                <w:div w:id="1509633475">
                                  <w:marLeft w:val="0"/>
                                  <w:marRight w:val="240"/>
                                  <w:marTop w:val="0"/>
                                  <w:marBottom w:val="0"/>
                                  <w:divBdr>
                                    <w:top w:val="none" w:sz="0" w:space="0" w:color="auto"/>
                                    <w:left w:val="none" w:sz="0" w:space="0" w:color="auto"/>
                                    <w:bottom w:val="none" w:sz="0" w:space="0" w:color="auto"/>
                                    <w:right w:val="none" w:sz="0" w:space="0" w:color="auto"/>
                                  </w:divBdr>
                                  <w:divsChild>
                                    <w:div w:id="1273705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6313242">
                              <w:marLeft w:val="0"/>
                              <w:marRight w:val="0"/>
                              <w:marTop w:val="0"/>
                              <w:marBottom w:val="0"/>
                              <w:divBdr>
                                <w:top w:val="none" w:sz="0" w:space="0" w:color="auto"/>
                                <w:left w:val="none" w:sz="0" w:space="0" w:color="auto"/>
                                <w:bottom w:val="none" w:sz="0" w:space="0" w:color="auto"/>
                                <w:right w:val="none" w:sz="0" w:space="0" w:color="auto"/>
                              </w:divBdr>
                              <w:divsChild>
                                <w:div w:id="2147312304">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 w:id="1040862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066324">
          <w:marLeft w:val="0"/>
          <w:marRight w:val="0"/>
          <w:marTop w:val="0"/>
          <w:marBottom w:val="0"/>
          <w:divBdr>
            <w:top w:val="none" w:sz="0" w:space="0" w:color="auto"/>
            <w:left w:val="none" w:sz="0" w:space="0" w:color="auto"/>
            <w:bottom w:val="none" w:sz="0" w:space="0" w:color="auto"/>
            <w:right w:val="none" w:sz="0" w:space="0" w:color="auto"/>
          </w:divBdr>
          <w:divsChild>
            <w:div w:id="833912050">
              <w:marLeft w:val="-150"/>
              <w:marRight w:val="-150"/>
              <w:marTop w:val="0"/>
              <w:marBottom w:val="0"/>
              <w:divBdr>
                <w:top w:val="none" w:sz="0" w:space="0" w:color="auto"/>
                <w:left w:val="none" w:sz="0" w:space="0" w:color="auto"/>
                <w:bottom w:val="none" w:sz="0" w:space="0" w:color="auto"/>
                <w:right w:val="none" w:sz="0" w:space="0" w:color="auto"/>
              </w:divBdr>
              <w:divsChild>
                <w:div w:id="1436559754">
                  <w:marLeft w:val="0"/>
                  <w:marRight w:val="0"/>
                  <w:marTop w:val="0"/>
                  <w:marBottom w:val="0"/>
                  <w:divBdr>
                    <w:top w:val="none" w:sz="0" w:space="0" w:color="auto"/>
                    <w:left w:val="none" w:sz="0" w:space="0" w:color="auto"/>
                    <w:bottom w:val="none" w:sz="0" w:space="0" w:color="auto"/>
                    <w:right w:val="none" w:sz="0" w:space="0" w:color="auto"/>
                  </w:divBdr>
                  <w:divsChild>
                    <w:div w:id="592595919">
                      <w:marLeft w:val="-150"/>
                      <w:marRight w:val="-150"/>
                      <w:marTop w:val="0"/>
                      <w:marBottom w:val="0"/>
                      <w:divBdr>
                        <w:top w:val="none" w:sz="0" w:space="0" w:color="auto"/>
                        <w:left w:val="none" w:sz="0" w:space="0" w:color="auto"/>
                        <w:bottom w:val="none" w:sz="0" w:space="0" w:color="auto"/>
                        <w:right w:val="none" w:sz="0" w:space="0" w:color="auto"/>
                      </w:divBdr>
                      <w:divsChild>
                        <w:div w:id="1737506804">
                          <w:marLeft w:val="967"/>
                          <w:marRight w:val="0"/>
                          <w:marTop w:val="0"/>
                          <w:marBottom w:val="0"/>
                          <w:divBdr>
                            <w:top w:val="none" w:sz="0" w:space="0" w:color="auto"/>
                            <w:left w:val="none" w:sz="0" w:space="0" w:color="auto"/>
                            <w:bottom w:val="none" w:sz="0" w:space="0" w:color="auto"/>
                            <w:right w:val="none" w:sz="0" w:space="0" w:color="auto"/>
                          </w:divBdr>
                        </w:div>
                        <w:div w:id="105274885">
                          <w:marLeft w:val="967"/>
                          <w:marRight w:val="0"/>
                          <w:marTop w:val="0"/>
                          <w:marBottom w:val="0"/>
                          <w:divBdr>
                            <w:top w:val="none" w:sz="0" w:space="0" w:color="auto"/>
                            <w:left w:val="none" w:sz="0" w:space="0" w:color="auto"/>
                            <w:bottom w:val="none" w:sz="0" w:space="0" w:color="auto"/>
                            <w:right w:val="none" w:sz="0" w:space="0" w:color="auto"/>
                          </w:divBdr>
                        </w:div>
                        <w:div w:id="62023884">
                          <w:marLeft w:val="967"/>
                          <w:marRight w:val="0"/>
                          <w:marTop w:val="0"/>
                          <w:marBottom w:val="0"/>
                          <w:divBdr>
                            <w:top w:val="none" w:sz="0" w:space="0" w:color="auto"/>
                            <w:left w:val="none" w:sz="0" w:space="0" w:color="auto"/>
                            <w:bottom w:val="none" w:sz="0" w:space="0" w:color="auto"/>
                            <w:right w:val="none" w:sz="0" w:space="0" w:color="auto"/>
                          </w:divBdr>
                        </w:div>
                        <w:div w:id="3869998">
                          <w:marLeft w:val="96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0097371">
      <w:bodyDiv w:val="1"/>
      <w:marLeft w:val="0"/>
      <w:marRight w:val="0"/>
      <w:marTop w:val="0"/>
      <w:marBottom w:val="0"/>
      <w:divBdr>
        <w:top w:val="none" w:sz="0" w:space="0" w:color="auto"/>
        <w:left w:val="none" w:sz="0" w:space="0" w:color="auto"/>
        <w:bottom w:val="none" w:sz="0" w:space="0" w:color="auto"/>
        <w:right w:val="none" w:sz="0" w:space="0" w:color="auto"/>
      </w:divBdr>
    </w:div>
    <w:div w:id="1304190815">
      <w:bodyDiv w:val="1"/>
      <w:marLeft w:val="0"/>
      <w:marRight w:val="0"/>
      <w:marTop w:val="0"/>
      <w:marBottom w:val="0"/>
      <w:divBdr>
        <w:top w:val="none" w:sz="0" w:space="0" w:color="auto"/>
        <w:left w:val="none" w:sz="0" w:space="0" w:color="auto"/>
        <w:bottom w:val="none" w:sz="0" w:space="0" w:color="auto"/>
        <w:right w:val="none" w:sz="0" w:space="0" w:color="auto"/>
      </w:divBdr>
    </w:div>
    <w:div w:id="1499274976">
      <w:bodyDiv w:val="1"/>
      <w:marLeft w:val="0"/>
      <w:marRight w:val="0"/>
      <w:marTop w:val="0"/>
      <w:marBottom w:val="0"/>
      <w:divBdr>
        <w:top w:val="none" w:sz="0" w:space="0" w:color="auto"/>
        <w:left w:val="none" w:sz="0" w:space="0" w:color="auto"/>
        <w:bottom w:val="none" w:sz="0" w:space="0" w:color="auto"/>
        <w:right w:val="none" w:sz="0" w:space="0" w:color="auto"/>
      </w:divBdr>
    </w:div>
    <w:div w:id="1512914134">
      <w:bodyDiv w:val="1"/>
      <w:marLeft w:val="0"/>
      <w:marRight w:val="0"/>
      <w:marTop w:val="0"/>
      <w:marBottom w:val="0"/>
      <w:divBdr>
        <w:top w:val="none" w:sz="0" w:space="0" w:color="auto"/>
        <w:left w:val="none" w:sz="0" w:space="0" w:color="auto"/>
        <w:bottom w:val="none" w:sz="0" w:space="0" w:color="auto"/>
        <w:right w:val="none" w:sz="0" w:space="0" w:color="auto"/>
      </w:divBdr>
    </w:div>
    <w:div w:id="1844205448">
      <w:bodyDiv w:val="1"/>
      <w:marLeft w:val="0"/>
      <w:marRight w:val="0"/>
      <w:marTop w:val="0"/>
      <w:marBottom w:val="0"/>
      <w:divBdr>
        <w:top w:val="none" w:sz="0" w:space="0" w:color="auto"/>
        <w:left w:val="none" w:sz="0" w:space="0" w:color="auto"/>
        <w:bottom w:val="none" w:sz="0" w:space="0" w:color="auto"/>
        <w:right w:val="none" w:sz="0" w:space="0" w:color="auto"/>
      </w:divBdr>
    </w:div>
    <w:div w:id="1914849008">
      <w:bodyDiv w:val="1"/>
      <w:marLeft w:val="0"/>
      <w:marRight w:val="0"/>
      <w:marTop w:val="0"/>
      <w:marBottom w:val="0"/>
      <w:divBdr>
        <w:top w:val="none" w:sz="0" w:space="0" w:color="auto"/>
        <w:left w:val="none" w:sz="0" w:space="0" w:color="auto"/>
        <w:bottom w:val="none" w:sz="0" w:space="0" w:color="auto"/>
        <w:right w:val="none" w:sz="0" w:space="0" w:color="auto"/>
      </w:divBdr>
    </w:div>
    <w:div w:id="1926373752">
      <w:bodyDiv w:val="1"/>
      <w:marLeft w:val="0"/>
      <w:marRight w:val="0"/>
      <w:marTop w:val="0"/>
      <w:marBottom w:val="0"/>
      <w:divBdr>
        <w:top w:val="none" w:sz="0" w:space="0" w:color="auto"/>
        <w:left w:val="none" w:sz="0" w:space="0" w:color="auto"/>
        <w:bottom w:val="none" w:sz="0" w:space="0" w:color="auto"/>
        <w:right w:val="none" w:sz="0" w:space="0" w:color="auto"/>
      </w:divBdr>
    </w:div>
    <w:div w:id="1929803014">
      <w:bodyDiv w:val="1"/>
      <w:marLeft w:val="0"/>
      <w:marRight w:val="0"/>
      <w:marTop w:val="0"/>
      <w:marBottom w:val="0"/>
      <w:divBdr>
        <w:top w:val="none" w:sz="0" w:space="0" w:color="auto"/>
        <w:left w:val="none" w:sz="0" w:space="0" w:color="auto"/>
        <w:bottom w:val="none" w:sz="0" w:space="0" w:color="auto"/>
        <w:right w:val="none" w:sz="0" w:space="0" w:color="auto"/>
      </w:divBdr>
    </w:div>
    <w:div w:id="1979995100">
      <w:bodyDiv w:val="1"/>
      <w:marLeft w:val="0"/>
      <w:marRight w:val="0"/>
      <w:marTop w:val="0"/>
      <w:marBottom w:val="0"/>
      <w:divBdr>
        <w:top w:val="none" w:sz="0" w:space="0" w:color="auto"/>
        <w:left w:val="none" w:sz="0" w:space="0" w:color="auto"/>
        <w:bottom w:val="none" w:sz="0" w:space="0" w:color="auto"/>
        <w:right w:val="none" w:sz="0" w:space="0" w:color="auto"/>
      </w:divBdr>
    </w:div>
    <w:div w:id="2118867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CCFFAF06-5D7F-4001-901E-BF0D40A48D2F}"/>
</file>

<file path=customXml/itemProps2.xml><?xml version="1.0" encoding="utf-8"?>
<ds:datastoreItem xmlns:ds="http://schemas.openxmlformats.org/officeDocument/2006/customXml" ds:itemID="{DD540A96-5C80-4A40-8E70-886E26092AFB}"/>
</file>

<file path=customXml/itemProps3.xml><?xml version="1.0" encoding="utf-8"?>
<ds:datastoreItem xmlns:ds="http://schemas.openxmlformats.org/officeDocument/2006/customXml" ds:itemID="{AAE0E5BB-B25F-41BA-98C8-0B0635C6ABCB}"/>
</file>

<file path=docProps/app.xml><?xml version="1.0" encoding="utf-8"?>
<Properties xmlns="http://schemas.openxmlformats.org/officeDocument/2006/extended-properties" xmlns:vt="http://schemas.openxmlformats.org/officeDocument/2006/docPropsVTypes">
  <Template>Normal</Template>
  <TotalTime>0</TotalTime>
  <Pages>3</Pages>
  <Words>1042</Words>
  <Characters>5944</Characters>
  <Application>Microsoft Office Word</Application>
  <DocSecurity>4</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BREWSTER, Shona (NHS LINCOLNSHIRE ICB - 71E)</dc:creator>
  <cp:keywords/>
  <dc:description/>
  <cp:lastModifiedBy>Parker, Lindsay (NHS ARDEN AND GREATER EAST MIDLANDS COMMISSIONING SUPPORT UNIT)</cp:lastModifiedBy>
  <cp:revision>2</cp:revision>
  <dcterms:created xsi:type="dcterms:W3CDTF">2023-05-09T09:47:00Z</dcterms:created>
  <dcterms:modified xsi:type="dcterms:W3CDTF">2023-05-09T09:47:00Z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ies>
</file>