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A106DB2" w:rsidR="001D6285" w:rsidRDefault="001D6285" w:rsidP="00AA305B">
      <w:pPr>
        <w:jc w:val="right"/>
        <w:rPr>
          <w:rFonts w:ascii="Arial" w:hAnsi="Arial" w:cs="Arial"/>
          <w:color w:val="000000"/>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B20D4E">
        <w:rPr>
          <w:rFonts w:ascii="Arial" w:hAnsi="Arial" w:cs="Arial"/>
          <w:color w:val="000000"/>
        </w:rPr>
        <w:t>14 March 2023</w:t>
      </w:r>
    </w:p>
    <w:p w14:paraId="534D0EB8" w14:textId="77777777" w:rsidR="00A667B2" w:rsidRDefault="00A667B2" w:rsidP="00AA305B">
      <w:pPr>
        <w:jc w:val="right"/>
        <w:rPr>
          <w:rFonts w:ascii="Arial" w:hAnsi="Arial" w:cs="Arial"/>
          <w:b/>
          <w:bCs/>
          <w:color w:val="0070C0"/>
          <w:szCs w:val="22"/>
        </w:rPr>
      </w:pPr>
    </w:p>
    <w:p w14:paraId="3D5F5856" w14:textId="5458A38D"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78737AE" w14:textId="77777777" w:rsidR="00A667B2" w:rsidRDefault="00A667B2" w:rsidP="00187458">
      <w:pPr>
        <w:jc w:val="center"/>
        <w:rPr>
          <w:rFonts w:ascii="Arial" w:hAnsi="Arial" w:cs="Arial"/>
          <w:b/>
          <w:bCs/>
          <w:color w:val="0070C0"/>
          <w:szCs w:val="22"/>
        </w:rPr>
      </w:pPr>
    </w:p>
    <w:p w14:paraId="6A05A809" w14:textId="77777777" w:rsidR="00957674" w:rsidRDefault="00957674" w:rsidP="00957674">
      <w:pPr>
        <w:rPr>
          <w:rFonts w:ascii="Arial" w:hAnsi="Arial" w:cs="Arial"/>
          <w:szCs w:val="22"/>
        </w:rPr>
      </w:pPr>
    </w:p>
    <w:p w14:paraId="5A39BBE3" w14:textId="496FF7C9" w:rsidR="00957674" w:rsidRDefault="00957674" w:rsidP="00957674">
      <w:pPr>
        <w:rPr>
          <w:rFonts w:ascii="Arial" w:hAnsi="Arial" w:cs="Arial"/>
          <w:szCs w:val="22"/>
        </w:rPr>
      </w:pPr>
      <w:r>
        <w:rPr>
          <w:rFonts w:ascii="Arial" w:hAnsi="Arial" w:cs="Arial"/>
          <w:szCs w:val="22"/>
        </w:rPr>
        <w:t>Dear Requester</w:t>
      </w:r>
    </w:p>
    <w:p w14:paraId="6781B13C" w14:textId="77777777" w:rsidR="00A667B2" w:rsidRDefault="00A667B2" w:rsidP="00957674">
      <w:pPr>
        <w:rPr>
          <w:rFonts w:ascii="Arial" w:hAnsi="Arial" w:cs="Arial"/>
          <w:szCs w:val="22"/>
        </w:rPr>
      </w:pPr>
    </w:p>
    <w:p w14:paraId="4F957F17" w14:textId="3C789008"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B20D4E">
        <w:rPr>
          <w:rFonts w:ascii="Arial" w:hAnsi="Arial" w:cs="Arial"/>
          <w:color w:val="000000"/>
        </w:rPr>
        <w:t>70304</w:t>
      </w:r>
    </w:p>
    <w:p w14:paraId="41C8F396" w14:textId="7579351E" w:rsidR="00957674" w:rsidRDefault="00957674" w:rsidP="00957674">
      <w:pPr>
        <w:rPr>
          <w:rFonts w:ascii="Arial" w:hAnsi="Arial" w:cs="Arial"/>
          <w:szCs w:val="22"/>
        </w:rPr>
      </w:pPr>
    </w:p>
    <w:p w14:paraId="45F7B66F" w14:textId="77777777" w:rsidR="00A667B2" w:rsidRDefault="00A667B2" w:rsidP="00957674">
      <w:pPr>
        <w:rPr>
          <w:rFonts w:ascii="Arial" w:hAnsi="Arial" w:cs="Arial"/>
          <w:szCs w:val="22"/>
        </w:rPr>
      </w:pPr>
    </w:p>
    <w:p w14:paraId="72A3D3EC" w14:textId="13517957" w:rsidR="00957674" w:rsidRDefault="00957674" w:rsidP="00504140">
      <w:pPr>
        <w:rPr>
          <w:rFonts w:ascii="Arial" w:hAnsi="Arial" w:cs="Arial"/>
          <w:color w:val="000000"/>
        </w:rPr>
      </w:pPr>
      <w:r>
        <w:rPr>
          <w:rFonts w:ascii="Arial" w:hAnsi="Arial" w:cs="Arial"/>
          <w:szCs w:val="22"/>
        </w:rPr>
        <w:t xml:space="preserve">I refer to your email of </w:t>
      </w:r>
      <w:r w:rsidR="00D41711">
        <w:rPr>
          <w:rFonts w:ascii="Arial" w:hAnsi="Arial" w:cs="Arial"/>
          <w:color w:val="000000"/>
        </w:rPr>
        <w:t>03 March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1B07A9">
        <w:rPr>
          <w:rFonts w:ascii="Arial" w:hAnsi="Arial" w:cs="Arial"/>
          <w:color w:val="000000"/>
        </w:rPr>
        <w:t xml:space="preserve">flexible pool </w:t>
      </w:r>
      <w:proofErr w:type="gramStart"/>
      <w:r w:rsidR="001B07A9">
        <w:rPr>
          <w:rFonts w:ascii="Arial" w:hAnsi="Arial" w:cs="Arial"/>
          <w:color w:val="000000"/>
        </w:rPr>
        <w:t>solutions.</w:t>
      </w:r>
      <w:r w:rsidR="00504140">
        <w:rPr>
          <w:rFonts w:ascii="Arial" w:hAnsi="Arial" w:cs="Arial"/>
          <w:color w:val="000000"/>
        </w:rPr>
        <w:t>.</w:t>
      </w:r>
      <w:proofErr w:type="gramEnd"/>
    </w:p>
    <w:p w14:paraId="15DD813E" w14:textId="77777777" w:rsidR="00504140" w:rsidRDefault="00504140" w:rsidP="00504140">
      <w:pPr>
        <w:rPr>
          <w:rFonts w:ascii="Arial" w:hAnsi="Arial" w:cs="Arial"/>
          <w:szCs w:val="22"/>
        </w:rPr>
      </w:pPr>
    </w:p>
    <w:p w14:paraId="307FF6F4" w14:textId="6C8D1B44"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A667B2">
        <w:rPr>
          <w:rFonts w:ascii="Arial" w:hAnsi="Arial" w:cs="Arial"/>
          <w:szCs w:val="22"/>
        </w:rPr>
        <w:t>C</w:t>
      </w:r>
      <w:r w:rsidR="00187458" w:rsidRPr="00A667B2">
        <w:rPr>
          <w:rFonts w:ascii="Arial" w:hAnsi="Arial" w:cs="Arial"/>
          <w:szCs w:val="22"/>
        </w:rPr>
        <w:t xml:space="preserve">are </w:t>
      </w:r>
      <w:r w:rsidR="001C4DB1" w:rsidRPr="00A667B2">
        <w:rPr>
          <w:rFonts w:ascii="Arial" w:hAnsi="Arial" w:cs="Arial"/>
          <w:szCs w:val="22"/>
        </w:rPr>
        <w:t>B</w:t>
      </w:r>
      <w:r w:rsidR="00187458" w:rsidRPr="00A667B2">
        <w:rPr>
          <w:rFonts w:ascii="Arial" w:hAnsi="Arial" w:cs="Arial"/>
          <w:szCs w:val="22"/>
        </w:rPr>
        <w:t>oard (ICB)</w:t>
      </w:r>
      <w:r w:rsidRPr="00A667B2">
        <w:rPr>
          <w:rFonts w:ascii="Arial" w:hAnsi="Arial" w:cs="Arial"/>
          <w:szCs w:val="22"/>
        </w:rPr>
        <w:t xml:space="preserve"> and in accordance with S.1 (1) of the Freedom of Information Act 2000 (FOIA) that we </w:t>
      </w:r>
      <w:r w:rsidR="002742FE" w:rsidRPr="00A667B2">
        <w:rPr>
          <w:rFonts w:ascii="Arial" w:hAnsi="Arial" w:cs="Arial"/>
          <w:color w:val="000000"/>
        </w:rPr>
        <w:t>do hold</w:t>
      </w:r>
      <w:r w:rsidR="00657D32" w:rsidRPr="00A667B2">
        <w:rPr>
          <w:rFonts w:ascii="Arial" w:hAnsi="Arial" w:cs="Arial"/>
          <w:szCs w:val="22"/>
        </w:rPr>
        <w:t xml:space="preserve"> </w:t>
      </w:r>
      <w:r w:rsidRPr="00A667B2">
        <w:rPr>
          <w:rFonts w:ascii="Arial" w:hAnsi="Arial" w:cs="Arial"/>
          <w:szCs w:val="22"/>
        </w:rPr>
        <w:t>the</w:t>
      </w:r>
      <w:r w:rsidRPr="00657D32">
        <w:rPr>
          <w:rFonts w:ascii="Arial" w:hAnsi="Arial" w:cs="Arial"/>
          <w:szCs w:val="22"/>
        </w:rPr>
        <w:t xml:space="preserv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03E8897E" w14:textId="77777777" w:rsidR="00D41711" w:rsidRPr="00D41711" w:rsidRDefault="00D41711" w:rsidP="00D41711">
      <w:pPr>
        <w:rPr>
          <w:rFonts w:ascii="Arial" w:eastAsia="Arial" w:hAnsi="Arial" w:cs="Arial"/>
          <w:b/>
          <w:bCs/>
          <w:color w:val="000000" w:themeColor="text1"/>
          <w:szCs w:val="22"/>
        </w:rPr>
      </w:pPr>
      <w:r w:rsidRPr="00D41711">
        <w:rPr>
          <w:rFonts w:ascii="Arial" w:eastAsia="Arial" w:hAnsi="Arial" w:cs="Arial"/>
          <w:b/>
          <w:bCs/>
          <w:color w:val="222222"/>
          <w:szCs w:val="22"/>
        </w:rPr>
        <w:t xml:space="preserve">Please send us the following information regarding </w:t>
      </w:r>
      <w:hyperlink r:id="rId12" w:history="1">
        <w:r w:rsidRPr="00D41711">
          <w:rPr>
            <w:rStyle w:val="Hyperlink"/>
            <w:rFonts w:ascii="Arial" w:eastAsia="Arial" w:hAnsi="Arial" w:cs="Arial"/>
            <w:b/>
            <w:bCs/>
            <w:szCs w:val="22"/>
          </w:rPr>
          <w:t>NHS England flexible pools funding allocation.</w:t>
        </w:r>
      </w:hyperlink>
      <w:r w:rsidRPr="00D41711">
        <w:rPr>
          <w:rFonts w:ascii="Arial" w:eastAsia="Arial" w:hAnsi="Arial" w:cs="Arial"/>
          <w:b/>
          <w:bCs/>
          <w:color w:val="000000" w:themeColor="text1"/>
          <w:szCs w:val="22"/>
        </w:rPr>
        <w:t xml:space="preserve"> along with any with any other equivalent initiatives undertaken by the ICB.</w:t>
      </w:r>
    </w:p>
    <w:p w14:paraId="0AEF5156" w14:textId="77777777" w:rsidR="00D41711" w:rsidRPr="00D41711" w:rsidRDefault="00D41711" w:rsidP="00D41711">
      <w:pPr>
        <w:rPr>
          <w:rFonts w:ascii="Arial" w:eastAsia="Arial" w:hAnsi="Arial" w:cs="Arial"/>
          <w:b/>
          <w:bCs/>
          <w:color w:val="222222"/>
          <w:szCs w:val="22"/>
        </w:rPr>
      </w:pPr>
    </w:p>
    <w:p w14:paraId="1A100A50" w14:textId="5BB0E467" w:rsidR="00D41711" w:rsidRPr="00A667B2" w:rsidRDefault="00D41711" w:rsidP="00D41711">
      <w:pPr>
        <w:pStyle w:val="ListParagraph"/>
        <w:numPr>
          <w:ilvl w:val="0"/>
          <w:numId w:val="6"/>
        </w:numPr>
        <w:spacing w:after="160" w:line="256" w:lineRule="auto"/>
        <w:rPr>
          <w:rFonts w:eastAsia="Arial" w:cs="Arial"/>
          <w:b/>
          <w:bCs/>
          <w:color w:val="222222"/>
          <w:sz w:val="22"/>
          <w:szCs w:val="22"/>
        </w:rPr>
      </w:pPr>
      <w:r w:rsidRPr="00A667B2">
        <w:rPr>
          <w:rFonts w:eastAsia="Arial" w:cs="Arial"/>
          <w:b/>
          <w:bCs/>
          <w:color w:val="222222"/>
          <w:sz w:val="22"/>
          <w:szCs w:val="22"/>
        </w:rPr>
        <w:t xml:space="preserve">Name of supplier(s) contracted to provide flexible pool solutions for the </w:t>
      </w:r>
      <w:proofErr w:type="gramStart"/>
      <w:r w:rsidRPr="00A667B2">
        <w:rPr>
          <w:rFonts w:eastAsia="Arial" w:cs="Arial"/>
          <w:b/>
          <w:bCs/>
          <w:color w:val="222222"/>
          <w:sz w:val="22"/>
          <w:szCs w:val="22"/>
        </w:rPr>
        <w:t>ICB</w:t>
      </w:r>
      <w:proofErr w:type="gramEnd"/>
      <w:r w:rsidRPr="00A667B2">
        <w:rPr>
          <w:rFonts w:eastAsia="Arial" w:cs="Arial"/>
          <w:b/>
          <w:bCs/>
          <w:color w:val="222222"/>
          <w:sz w:val="22"/>
          <w:szCs w:val="22"/>
        </w:rPr>
        <w:t xml:space="preserve"> and the geographical area covered by each of the contracts. </w:t>
      </w:r>
      <w:r w:rsidR="001B07A9" w:rsidRPr="00A667B2">
        <w:rPr>
          <w:rFonts w:eastAsia="Arial" w:cs="Arial"/>
          <w:b/>
          <w:bCs/>
          <w:color w:val="222222"/>
          <w:sz w:val="22"/>
          <w:szCs w:val="22"/>
        </w:rPr>
        <w:br/>
      </w:r>
      <w:proofErr w:type="spellStart"/>
      <w:r w:rsidR="001B07A9" w:rsidRPr="00A667B2">
        <w:rPr>
          <w:rFonts w:eastAsia="Arial" w:cs="Arial"/>
          <w:color w:val="222222"/>
          <w:sz w:val="22"/>
          <w:szCs w:val="22"/>
        </w:rPr>
        <w:t>Lantum</w:t>
      </w:r>
      <w:proofErr w:type="spellEnd"/>
      <w:r w:rsidR="001B07A9" w:rsidRPr="00A667B2">
        <w:rPr>
          <w:rFonts w:eastAsia="Arial" w:cs="Arial"/>
          <w:color w:val="222222"/>
          <w:sz w:val="22"/>
          <w:szCs w:val="22"/>
        </w:rPr>
        <w:t>; Lincolnshire</w:t>
      </w:r>
    </w:p>
    <w:p w14:paraId="2C3727F9" w14:textId="77777777" w:rsidR="00A667B2" w:rsidRPr="00A667B2" w:rsidRDefault="00A667B2" w:rsidP="00A667B2">
      <w:pPr>
        <w:pStyle w:val="ListParagraph"/>
        <w:spacing w:after="160" w:line="256" w:lineRule="auto"/>
        <w:rPr>
          <w:rFonts w:eastAsia="Arial" w:cs="Arial"/>
          <w:b/>
          <w:bCs/>
          <w:color w:val="222222"/>
          <w:sz w:val="22"/>
          <w:szCs w:val="22"/>
        </w:rPr>
      </w:pPr>
    </w:p>
    <w:p w14:paraId="48F2162F" w14:textId="25C77A79" w:rsidR="00A667B2" w:rsidRPr="00A667B2" w:rsidRDefault="00D41711" w:rsidP="00A667B2">
      <w:pPr>
        <w:pStyle w:val="ListParagraph"/>
        <w:numPr>
          <w:ilvl w:val="0"/>
          <w:numId w:val="6"/>
        </w:numPr>
        <w:spacing w:after="160" w:line="256" w:lineRule="auto"/>
        <w:rPr>
          <w:rFonts w:eastAsia="Arial" w:cs="Arial"/>
          <w:b/>
          <w:bCs/>
          <w:color w:val="222222"/>
          <w:sz w:val="22"/>
          <w:szCs w:val="22"/>
        </w:rPr>
      </w:pPr>
      <w:r w:rsidRPr="00A667B2">
        <w:rPr>
          <w:rFonts w:eastAsia="Arial" w:cs="Arial"/>
          <w:b/>
          <w:bCs/>
          <w:color w:val="222222"/>
          <w:sz w:val="22"/>
          <w:szCs w:val="22"/>
        </w:rPr>
        <w:t xml:space="preserve">If the responsibility for the provision and/or the funding has been devolved to another </w:t>
      </w:r>
      <w:proofErr w:type="spellStart"/>
      <w:r w:rsidRPr="00A667B2">
        <w:rPr>
          <w:rFonts w:eastAsia="Arial" w:cs="Arial"/>
          <w:b/>
          <w:bCs/>
          <w:color w:val="222222"/>
          <w:sz w:val="22"/>
          <w:szCs w:val="22"/>
        </w:rPr>
        <w:t>organisation</w:t>
      </w:r>
      <w:proofErr w:type="spellEnd"/>
      <w:r w:rsidRPr="00A667B2">
        <w:rPr>
          <w:rFonts w:eastAsia="Arial" w:cs="Arial"/>
          <w:b/>
          <w:bCs/>
          <w:color w:val="222222"/>
          <w:sz w:val="22"/>
          <w:szCs w:val="22"/>
        </w:rPr>
        <w:t xml:space="preserve"> the name of each of the </w:t>
      </w:r>
      <w:proofErr w:type="spellStart"/>
      <w:r w:rsidRPr="00A667B2">
        <w:rPr>
          <w:rFonts w:eastAsia="Arial" w:cs="Arial"/>
          <w:b/>
          <w:bCs/>
          <w:color w:val="222222"/>
          <w:sz w:val="22"/>
          <w:szCs w:val="22"/>
        </w:rPr>
        <w:t>organisations</w:t>
      </w:r>
      <w:proofErr w:type="spellEnd"/>
      <w:r w:rsidRPr="00A667B2">
        <w:rPr>
          <w:rFonts w:eastAsia="Arial" w:cs="Arial"/>
          <w:b/>
          <w:bCs/>
          <w:color w:val="222222"/>
          <w:sz w:val="22"/>
          <w:szCs w:val="22"/>
        </w:rPr>
        <w:t xml:space="preserve"> and the supplier each of those </w:t>
      </w:r>
      <w:proofErr w:type="spellStart"/>
      <w:r w:rsidRPr="00A667B2">
        <w:rPr>
          <w:rFonts w:eastAsia="Arial" w:cs="Arial"/>
          <w:b/>
          <w:bCs/>
          <w:color w:val="222222"/>
          <w:sz w:val="22"/>
          <w:szCs w:val="22"/>
        </w:rPr>
        <w:t>organisations</w:t>
      </w:r>
      <w:proofErr w:type="spellEnd"/>
      <w:r w:rsidRPr="00A667B2">
        <w:rPr>
          <w:rFonts w:eastAsia="Arial" w:cs="Arial"/>
          <w:b/>
          <w:bCs/>
          <w:color w:val="222222"/>
          <w:sz w:val="22"/>
          <w:szCs w:val="22"/>
        </w:rPr>
        <w:t xml:space="preserve"> has contracted with.</w:t>
      </w:r>
      <w:r w:rsidR="0059017C" w:rsidRPr="00A667B2">
        <w:rPr>
          <w:rFonts w:eastAsia="Arial" w:cs="Arial"/>
          <w:b/>
          <w:bCs/>
          <w:color w:val="222222"/>
          <w:sz w:val="22"/>
          <w:szCs w:val="22"/>
        </w:rPr>
        <w:br/>
      </w:r>
      <w:r w:rsidR="0059017C" w:rsidRPr="00A667B2">
        <w:rPr>
          <w:rFonts w:eastAsia="Arial" w:cs="Arial"/>
          <w:color w:val="222222"/>
          <w:sz w:val="22"/>
          <w:szCs w:val="22"/>
        </w:rPr>
        <w:t>Not applicable</w:t>
      </w:r>
      <w:r w:rsidR="00A667B2">
        <w:rPr>
          <w:rFonts w:eastAsia="Arial" w:cs="Arial"/>
          <w:color w:val="222222"/>
          <w:sz w:val="22"/>
          <w:szCs w:val="22"/>
        </w:rPr>
        <w:br/>
      </w:r>
    </w:p>
    <w:p w14:paraId="65A2B6B8" w14:textId="51E410EE" w:rsidR="00D41711" w:rsidRPr="00A667B2" w:rsidRDefault="00D41711" w:rsidP="00D41711">
      <w:pPr>
        <w:pStyle w:val="ListParagraph"/>
        <w:numPr>
          <w:ilvl w:val="0"/>
          <w:numId w:val="6"/>
        </w:numPr>
        <w:spacing w:line="256" w:lineRule="auto"/>
        <w:rPr>
          <w:rFonts w:eastAsia="Arial" w:cs="Arial"/>
          <w:b/>
          <w:bCs/>
          <w:color w:val="222222"/>
          <w:sz w:val="22"/>
          <w:szCs w:val="22"/>
        </w:rPr>
      </w:pPr>
      <w:r w:rsidRPr="00A667B2">
        <w:rPr>
          <w:rFonts w:eastAsia="Arial" w:cs="Arial"/>
          <w:b/>
          <w:bCs/>
          <w:color w:val="222222"/>
          <w:sz w:val="22"/>
          <w:szCs w:val="22"/>
        </w:rPr>
        <w:t xml:space="preserve">The value of annual payments paid or payable to each provider noted within (1) and (2) for the financial years ended 31 March 2022, </w:t>
      </w:r>
      <w:proofErr w:type="gramStart"/>
      <w:r w:rsidRPr="00A667B2">
        <w:rPr>
          <w:rFonts w:eastAsia="Arial" w:cs="Arial"/>
          <w:b/>
          <w:bCs/>
          <w:color w:val="222222"/>
          <w:sz w:val="22"/>
          <w:szCs w:val="22"/>
        </w:rPr>
        <w:t>2023</w:t>
      </w:r>
      <w:proofErr w:type="gramEnd"/>
      <w:r w:rsidRPr="00A667B2">
        <w:rPr>
          <w:rFonts w:eastAsia="Arial" w:cs="Arial"/>
          <w:b/>
          <w:bCs/>
          <w:color w:val="222222"/>
          <w:sz w:val="22"/>
          <w:szCs w:val="22"/>
        </w:rPr>
        <w:t xml:space="preserve"> and 2024.</w:t>
      </w:r>
    </w:p>
    <w:p w14:paraId="6984EB85" w14:textId="77777777" w:rsidR="00B679B8" w:rsidRPr="00A667B2" w:rsidRDefault="00B679B8" w:rsidP="00B679B8">
      <w:pPr>
        <w:pStyle w:val="ListParagraph"/>
        <w:spacing w:line="252" w:lineRule="auto"/>
        <w:ind w:left="1440"/>
        <w:rPr>
          <w:rFonts w:cs="Arial"/>
          <w:color w:val="222222"/>
          <w:sz w:val="22"/>
          <w:szCs w:val="22"/>
        </w:rPr>
      </w:pPr>
      <w:r w:rsidRPr="00A667B2">
        <w:rPr>
          <w:rFonts w:cs="Arial"/>
          <w:color w:val="222222"/>
          <w:sz w:val="22"/>
          <w:szCs w:val="22"/>
        </w:rPr>
        <w:t>2022 - £1536k</w:t>
      </w:r>
    </w:p>
    <w:p w14:paraId="2B4C2D60" w14:textId="268B2F7B" w:rsidR="00B679B8" w:rsidRPr="00A667B2" w:rsidRDefault="00B679B8" w:rsidP="00B679B8">
      <w:pPr>
        <w:pStyle w:val="ListParagraph"/>
        <w:spacing w:line="252" w:lineRule="auto"/>
        <w:ind w:left="1440"/>
        <w:rPr>
          <w:rFonts w:cs="Arial"/>
          <w:color w:val="222222"/>
          <w:sz w:val="22"/>
          <w:szCs w:val="22"/>
        </w:rPr>
      </w:pPr>
      <w:r w:rsidRPr="00A667B2">
        <w:rPr>
          <w:rFonts w:cs="Arial"/>
          <w:color w:val="222222"/>
          <w:sz w:val="22"/>
          <w:szCs w:val="22"/>
        </w:rPr>
        <w:t>2023 - £55.1k</w:t>
      </w:r>
    </w:p>
    <w:p w14:paraId="57846EF3" w14:textId="70B232D2" w:rsidR="0059017C" w:rsidRDefault="00B679B8" w:rsidP="000E3B36">
      <w:pPr>
        <w:pStyle w:val="ListParagraph"/>
        <w:spacing w:line="252" w:lineRule="auto"/>
        <w:ind w:left="1440"/>
        <w:rPr>
          <w:rFonts w:cs="Arial"/>
          <w:color w:val="222222"/>
          <w:sz w:val="22"/>
          <w:szCs w:val="22"/>
        </w:rPr>
      </w:pPr>
      <w:r w:rsidRPr="00A667B2">
        <w:rPr>
          <w:rFonts w:cs="Arial"/>
          <w:color w:val="222222"/>
          <w:sz w:val="22"/>
          <w:szCs w:val="22"/>
        </w:rPr>
        <w:t>2024 - £55.1k</w:t>
      </w:r>
    </w:p>
    <w:p w14:paraId="7F548B56" w14:textId="77777777" w:rsidR="00A667B2" w:rsidRPr="00A667B2" w:rsidRDefault="00A667B2" w:rsidP="000E3B36">
      <w:pPr>
        <w:pStyle w:val="ListParagraph"/>
        <w:spacing w:line="252" w:lineRule="auto"/>
        <w:ind w:left="1440"/>
        <w:rPr>
          <w:rFonts w:eastAsia="Arial" w:cs="Arial"/>
          <w:b/>
          <w:bCs/>
          <w:color w:val="222222"/>
          <w:sz w:val="22"/>
          <w:szCs w:val="22"/>
        </w:rPr>
      </w:pPr>
    </w:p>
    <w:p w14:paraId="2E48A01D" w14:textId="134AF257" w:rsidR="00D41711" w:rsidRPr="00A667B2" w:rsidRDefault="00D41711" w:rsidP="00D41711">
      <w:pPr>
        <w:pStyle w:val="ListParagraph"/>
        <w:numPr>
          <w:ilvl w:val="0"/>
          <w:numId w:val="6"/>
        </w:numPr>
        <w:spacing w:line="256" w:lineRule="auto"/>
        <w:rPr>
          <w:rFonts w:eastAsia="Arial" w:cs="Arial"/>
          <w:b/>
          <w:bCs/>
          <w:color w:val="222222"/>
          <w:sz w:val="22"/>
          <w:szCs w:val="22"/>
        </w:rPr>
      </w:pPr>
      <w:r w:rsidRPr="00A667B2">
        <w:rPr>
          <w:rFonts w:eastAsia="Arial" w:cs="Arial"/>
          <w:b/>
          <w:bCs/>
          <w:color w:val="222222"/>
          <w:sz w:val="22"/>
          <w:szCs w:val="22"/>
        </w:rPr>
        <w:t>The contract end date for any contracts currently in place with each provider under (1) and (2).</w:t>
      </w:r>
    </w:p>
    <w:p w14:paraId="3D3F9D6A" w14:textId="78B2E9DD" w:rsidR="00B679B8" w:rsidRDefault="00B679B8" w:rsidP="000E3B36">
      <w:pPr>
        <w:pStyle w:val="ListParagraph"/>
        <w:spacing w:line="252" w:lineRule="auto"/>
        <w:rPr>
          <w:rFonts w:cs="Arial"/>
          <w:color w:val="222222"/>
          <w:sz w:val="22"/>
          <w:szCs w:val="22"/>
        </w:rPr>
      </w:pPr>
      <w:r w:rsidRPr="00A667B2">
        <w:rPr>
          <w:rFonts w:cs="Arial"/>
          <w:color w:val="222222"/>
          <w:sz w:val="22"/>
          <w:szCs w:val="22"/>
        </w:rPr>
        <w:t>31/03/</w:t>
      </w:r>
      <w:r w:rsidR="000E3B36" w:rsidRPr="00A667B2">
        <w:rPr>
          <w:rFonts w:cs="Arial"/>
          <w:color w:val="222222"/>
          <w:sz w:val="22"/>
          <w:szCs w:val="22"/>
        </w:rPr>
        <w:t>2024</w:t>
      </w:r>
    </w:p>
    <w:p w14:paraId="02C2C524" w14:textId="0511A151" w:rsidR="00A667B2" w:rsidRDefault="00A667B2" w:rsidP="000E3B36">
      <w:pPr>
        <w:pStyle w:val="ListParagraph"/>
        <w:spacing w:line="252" w:lineRule="auto"/>
        <w:rPr>
          <w:rFonts w:cs="Arial"/>
          <w:color w:val="222222"/>
          <w:sz w:val="22"/>
          <w:szCs w:val="22"/>
        </w:rPr>
      </w:pPr>
    </w:p>
    <w:p w14:paraId="10664C7D" w14:textId="3F911A63" w:rsidR="00A667B2" w:rsidRDefault="00A667B2" w:rsidP="000E3B36">
      <w:pPr>
        <w:pStyle w:val="ListParagraph"/>
        <w:spacing w:line="252" w:lineRule="auto"/>
        <w:rPr>
          <w:rFonts w:cs="Arial"/>
          <w:color w:val="222222"/>
          <w:sz w:val="22"/>
          <w:szCs w:val="22"/>
        </w:rPr>
      </w:pPr>
    </w:p>
    <w:p w14:paraId="3CAE2164" w14:textId="77777777" w:rsidR="00A667B2" w:rsidRPr="00A667B2" w:rsidRDefault="00A667B2" w:rsidP="000E3B36">
      <w:pPr>
        <w:pStyle w:val="ListParagraph"/>
        <w:spacing w:line="252" w:lineRule="auto"/>
        <w:rPr>
          <w:rFonts w:cs="Arial"/>
          <w:color w:val="222222"/>
          <w:sz w:val="22"/>
          <w:szCs w:val="22"/>
        </w:rPr>
      </w:pPr>
    </w:p>
    <w:p w14:paraId="33334843" w14:textId="6045061B" w:rsidR="00D41711" w:rsidRPr="00A667B2" w:rsidRDefault="00D41711" w:rsidP="00D41711">
      <w:pPr>
        <w:pStyle w:val="ListParagraph"/>
        <w:numPr>
          <w:ilvl w:val="0"/>
          <w:numId w:val="6"/>
        </w:numPr>
        <w:spacing w:line="256" w:lineRule="auto"/>
        <w:rPr>
          <w:rFonts w:eastAsia="Arial" w:cs="Arial"/>
          <w:b/>
          <w:bCs/>
          <w:color w:val="222222"/>
          <w:sz w:val="22"/>
          <w:szCs w:val="22"/>
        </w:rPr>
      </w:pPr>
      <w:r w:rsidRPr="00A667B2">
        <w:rPr>
          <w:rFonts w:eastAsia="Arial" w:cs="Arial"/>
          <w:b/>
          <w:bCs/>
          <w:color w:val="000000" w:themeColor="text1"/>
          <w:sz w:val="22"/>
          <w:szCs w:val="22"/>
        </w:rPr>
        <w:t>In relation to the platforms provided by suppliers identified within (1) and (2) the number of sessions advertised by GP practices and the number of those sessions successfully filled by locum GPs per month, by geographical area (excluding data for extended access services) in the 6-month period ended 28 February 2023.The number of locum GPs (by area) who have filled shifts in the 6-month period ended 28 February 2023.</w:t>
      </w:r>
    </w:p>
    <w:p w14:paraId="66498CC0" w14:textId="1DB4543D" w:rsidR="004B5128" w:rsidRPr="000E3B36" w:rsidRDefault="00A667B2" w:rsidP="004B5128">
      <w:pPr>
        <w:pStyle w:val="ListParagraph"/>
        <w:spacing w:line="252" w:lineRule="auto"/>
        <w:rPr>
          <w:sz w:val="22"/>
          <w:szCs w:val="22"/>
        </w:rPr>
      </w:pPr>
      <w:r>
        <w:rPr>
          <w:rFonts w:cs="Arial"/>
          <w:color w:val="000000"/>
          <w:sz w:val="22"/>
          <w:szCs w:val="22"/>
        </w:rPr>
        <w:lastRenderedPageBreak/>
        <w:t>Please see the table below which details the</w:t>
      </w:r>
      <w:r w:rsidR="004B5128" w:rsidRPr="000E3B36">
        <w:rPr>
          <w:rFonts w:cs="Arial"/>
          <w:color w:val="000000"/>
          <w:sz w:val="22"/>
          <w:szCs w:val="22"/>
        </w:rPr>
        <w:t xml:space="preserve"> number of sessions advertised by GP practices and the number of those sessions successfully filled by locum GPs per month.</w:t>
      </w:r>
    </w:p>
    <w:p w14:paraId="0B02D3F4" w14:textId="77777777" w:rsidR="004463C9" w:rsidRDefault="004463C9" w:rsidP="004B5128">
      <w:pPr>
        <w:pStyle w:val="ListParagraph"/>
        <w:spacing w:line="252" w:lineRule="auto"/>
      </w:pPr>
    </w:p>
    <w:p w14:paraId="3BC293DC" w14:textId="7E7CDA5E" w:rsidR="004463C9" w:rsidRDefault="004463C9" w:rsidP="004463C9">
      <w:pPr>
        <w:rPr>
          <w:rFonts w:ascii="Calibri" w:hAnsi="Calibri"/>
        </w:rPr>
      </w:pPr>
      <w:r>
        <w:rPr>
          <w:noProof/>
        </w:rPr>
        <w:drawing>
          <wp:inline distT="0" distB="0" distL="0" distR="0" wp14:anchorId="540AC208" wp14:editId="28AE76D8">
            <wp:extent cx="2261235" cy="1399540"/>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2261235" cy="1399540"/>
                    </a:xfrm>
                    <a:prstGeom prst="rect">
                      <a:avLst/>
                    </a:prstGeom>
                    <a:noFill/>
                    <a:ln>
                      <a:noFill/>
                    </a:ln>
                  </pic:spPr>
                </pic:pic>
              </a:graphicData>
            </a:graphic>
          </wp:inline>
        </w:drawing>
      </w:r>
    </w:p>
    <w:p w14:paraId="18F07C09" w14:textId="77777777" w:rsidR="004463C9" w:rsidRDefault="004463C9" w:rsidP="004B5128">
      <w:pPr>
        <w:pStyle w:val="ListParagraph"/>
        <w:spacing w:line="252" w:lineRule="auto"/>
        <w:rPr>
          <w:rFonts w:cs="Arial"/>
          <w:color w:val="222222"/>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A667B2"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25C7D69D"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15B0D0"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35210F2"/>
    <w:multiLevelType w:val="hybridMultilevel"/>
    <w:tmpl w:val="43D8297C"/>
    <w:lvl w:ilvl="0" w:tplc="FB6A96C2">
      <w:start w:val="1"/>
      <w:numFmt w:val="decimal"/>
      <w:lvlText w:val="%1."/>
      <w:lvlJc w:val="left"/>
      <w:pPr>
        <w:ind w:left="720" w:hanging="360"/>
      </w:pPr>
      <w:rPr>
        <w:rFonts w:ascii="Arial" w:hAnsi="Arial" w:cs="Times New Roman" w:hint="default"/>
      </w:rPr>
    </w:lvl>
    <w:lvl w:ilvl="1" w:tplc="2DA4518A">
      <w:start w:val="1"/>
      <w:numFmt w:val="lowerLetter"/>
      <w:lvlText w:val="%2."/>
      <w:lvlJc w:val="left"/>
      <w:pPr>
        <w:ind w:left="1440" w:hanging="360"/>
      </w:pPr>
    </w:lvl>
    <w:lvl w:ilvl="2" w:tplc="891EC3B4">
      <w:start w:val="1"/>
      <w:numFmt w:val="lowerRoman"/>
      <w:lvlText w:val="%3."/>
      <w:lvlJc w:val="right"/>
      <w:pPr>
        <w:ind w:left="2160" w:hanging="180"/>
      </w:pPr>
    </w:lvl>
    <w:lvl w:ilvl="3" w:tplc="5F825682">
      <w:start w:val="1"/>
      <w:numFmt w:val="decimal"/>
      <w:lvlText w:val="%4."/>
      <w:lvlJc w:val="left"/>
      <w:pPr>
        <w:ind w:left="2880" w:hanging="360"/>
      </w:pPr>
    </w:lvl>
    <w:lvl w:ilvl="4" w:tplc="30CA1496">
      <w:start w:val="1"/>
      <w:numFmt w:val="lowerLetter"/>
      <w:lvlText w:val="%5."/>
      <w:lvlJc w:val="left"/>
      <w:pPr>
        <w:ind w:left="3600" w:hanging="360"/>
      </w:pPr>
    </w:lvl>
    <w:lvl w:ilvl="5" w:tplc="0D68CF28">
      <w:start w:val="1"/>
      <w:numFmt w:val="lowerRoman"/>
      <w:lvlText w:val="%6."/>
      <w:lvlJc w:val="right"/>
      <w:pPr>
        <w:ind w:left="4320" w:hanging="180"/>
      </w:pPr>
    </w:lvl>
    <w:lvl w:ilvl="6" w:tplc="E892E936">
      <w:start w:val="1"/>
      <w:numFmt w:val="decimal"/>
      <w:lvlText w:val="%7."/>
      <w:lvlJc w:val="left"/>
      <w:pPr>
        <w:ind w:left="5040" w:hanging="360"/>
      </w:pPr>
    </w:lvl>
    <w:lvl w:ilvl="7" w:tplc="3A14638C">
      <w:start w:val="1"/>
      <w:numFmt w:val="lowerLetter"/>
      <w:lvlText w:val="%8."/>
      <w:lvlJc w:val="left"/>
      <w:pPr>
        <w:ind w:left="5760" w:hanging="360"/>
      </w:pPr>
    </w:lvl>
    <w:lvl w:ilvl="8" w:tplc="60925138">
      <w:start w:val="1"/>
      <w:numFmt w:val="lowerRoman"/>
      <w:lvlText w:val="%9."/>
      <w:lvlJc w:val="right"/>
      <w:pPr>
        <w:ind w:left="6480" w:hanging="180"/>
      </w:pPr>
    </w:lvl>
  </w:abstractNum>
  <w:num w:numId="1" w16cid:durableId="822506172">
    <w:abstractNumId w:val="0"/>
  </w:num>
  <w:num w:numId="2" w16cid:durableId="487550501">
    <w:abstractNumId w:val="3"/>
  </w:num>
  <w:num w:numId="3" w16cid:durableId="1806852112">
    <w:abstractNumId w:val="2"/>
  </w:num>
  <w:num w:numId="4" w16cid:durableId="1496072174">
    <w:abstractNumId w:val="4"/>
  </w:num>
  <w:num w:numId="5" w16cid:durableId="974867023">
    <w:abstractNumId w:val="1"/>
  </w:num>
  <w:num w:numId="6" w16cid:durableId="20063247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3B36"/>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7A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63C9"/>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128"/>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17C"/>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575B"/>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7B2"/>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0D4E"/>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B8"/>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1711"/>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uiPriority w:val="99"/>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246465">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3876411">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59862358">
      <w:bodyDiv w:val="1"/>
      <w:marLeft w:val="0"/>
      <w:marRight w:val="0"/>
      <w:marTop w:val="0"/>
      <w:marBottom w:val="0"/>
      <w:divBdr>
        <w:top w:val="none" w:sz="0" w:space="0" w:color="auto"/>
        <w:left w:val="none" w:sz="0" w:space="0" w:color="auto"/>
        <w:bottom w:val="none" w:sz="0" w:space="0" w:color="auto"/>
        <w:right w:val="none" w:sz="0" w:space="0" w:color="auto"/>
      </w:divBdr>
    </w:div>
    <w:div w:id="1063021074">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109498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england.nhs.uk/publication/primary-care-flexible-staff-pools/"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cid:image007.png@01D95268.CF2F99E0"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B102C5C4-7FA8-49B0-9498-3BD5DC92CAAA}"/>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2</Pages>
  <Words>548</Words>
  <Characters>3353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11</cp:revision>
  <dcterms:created xsi:type="dcterms:W3CDTF">2023-03-14T12:53:00Z</dcterms:created>
  <dcterms:modified xsi:type="dcterms:W3CDTF">2023-03-14T12:59:00Z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