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4AD77BF"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222DA5">
        <w:rPr>
          <w:rFonts w:ascii="Arial" w:hAnsi="Arial" w:cs="Arial"/>
          <w:color w:val="000000" w:themeColor="text1"/>
          <w:szCs w:val="22"/>
        </w:rPr>
        <w:t>2</w:t>
      </w:r>
      <w:r w:rsidR="004B55F7">
        <w:rPr>
          <w:rFonts w:ascii="Arial" w:hAnsi="Arial" w:cs="Arial"/>
          <w:color w:val="000000" w:themeColor="text1"/>
          <w:szCs w:val="22"/>
        </w:rPr>
        <w:t>4</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1690DE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222DA5">
        <w:rPr>
          <w:rFonts w:ascii="Arial" w:hAnsi="Arial" w:cs="Arial"/>
          <w:color w:val="000000"/>
        </w:rPr>
        <w:t>4</w:t>
      </w:r>
      <w:r w:rsidR="002A5DE1">
        <w:rPr>
          <w:rFonts w:ascii="Arial" w:hAnsi="Arial" w:cs="Arial"/>
          <w:color w:val="000000"/>
        </w:rPr>
        <w:t>40</w:t>
      </w:r>
    </w:p>
    <w:p w14:paraId="41C8F396" w14:textId="77777777" w:rsidR="00957674" w:rsidRDefault="00957674" w:rsidP="00957674">
      <w:pPr>
        <w:rPr>
          <w:rFonts w:ascii="Arial" w:hAnsi="Arial" w:cs="Arial"/>
          <w:szCs w:val="22"/>
        </w:rPr>
      </w:pPr>
    </w:p>
    <w:p w14:paraId="15DD813E" w14:textId="2BF091CA"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5E1A93">
        <w:rPr>
          <w:rFonts w:ascii="Arial" w:hAnsi="Arial" w:cs="Arial"/>
          <w:color w:val="000000"/>
        </w:rPr>
        <w:t>2</w:t>
      </w:r>
      <w:r w:rsidR="002A5DE1">
        <w:rPr>
          <w:rFonts w:ascii="Arial" w:hAnsi="Arial" w:cs="Arial"/>
          <w:color w:val="000000"/>
        </w:rPr>
        <w:t>6</w:t>
      </w:r>
      <w:r w:rsidR="000D11B7">
        <w:rPr>
          <w:rFonts w:ascii="Arial" w:hAnsi="Arial" w:cs="Arial"/>
          <w:color w:val="000000"/>
        </w:rPr>
        <w:t xml:space="preserve"> </w:t>
      </w:r>
      <w:r w:rsidR="00986ACB">
        <w:rPr>
          <w:rFonts w:ascii="Arial" w:hAnsi="Arial" w:cs="Arial"/>
          <w:color w:val="000000"/>
        </w:rPr>
        <w:t>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2A5DE1">
        <w:rPr>
          <w:rFonts w:ascii="Arial" w:hAnsi="Arial" w:cs="Arial"/>
          <w:color w:val="000000"/>
        </w:rPr>
        <w:t>waiting times</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1F9DC414"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314F1">
        <w:rPr>
          <w:rFonts w:ascii="Arial" w:hAnsi="Arial" w:cs="Arial"/>
          <w:color w:val="000000" w:themeColor="text1"/>
          <w:szCs w:val="22"/>
        </w:rPr>
        <w:t>2000 (</w:t>
      </w:r>
      <w:r w:rsidRPr="005A6572">
        <w:rPr>
          <w:rFonts w:ascii="Arial" w:hAnsi="Arial" w:cs="Arial"/>
          <w:szCs w:val="22"/>
        </w:rPr>
        <w:t>FOIA</w:t>
      </w:r>
      <w:r w:rsidRPr="00A752F5">
        <w:rPr>
          <w:rFonts w:ascii="Arial" w:hAnsi="Arial" w:cs="Arial"/>
          <w:szCs w:val="22"/>
        </w:rPr>
        <w:t xml:space="preserve">) that we </w:t>
      </w:r>
      <w:r w:rsidR="00C71805" w:rsidRPr="00A752F5">
        <w:rPr>
          <w:rFonts w:ascii="Arial" w:hAnsi="Arial" w:cs="Arial"/>
        </w:rPr>
        <w:t xml:space="preserve">do </w:t>
      </w:r>
      <w:r w:rsidR="00A752F5" w:rsidRPr="00A752F5">
        <w:rPr>
          <w:rFonts w:ascii="Arial" w:hAnsi="Arial" w:cs="Arial"/>
        </w:rPr>
        <w:t xml:space="preserve">not </w:t>
      </w:r>
      <w:r w:rsidR="002742FE" w:rsidRPr="00A752F5">
        <w:rPr>
          <w:rFonts w:ascii="Arial" w:hAnsi="Arial" w:cs="Arial"/>
        </w:rPr>
        <w:t>hold</w:t>
      </w:r>
      <w:r w:rsidR="00657D32" w:rsidRPr="00A752F5">
        <w:rPr>
          <w:rFonts w:ascii="Arial" w:hAnsi="Arial" w:cs="Arial"/>
          <w:szCs w:val="22"/>
        </w:rPr>
        <w:t xml:space="preserve"> </w:t>
      </w:r>
      <w:r w:rsidRPr="00A752F5">
        <w:rPr>
          <w:rFonts w:ascii="Arial" w:hAnsi="Arial" w:cs="Arial"/>
          <w:szCs w:val="22"/>
        </w:rPr>
        <w:t xml:space="preserve">the information </w:t>
      </w:r>
      <w:r w:rsidRPr="00A11B9F">
        <w:rPr>
          <w:rFonts w:ascii="Arial" w:hAnsi="Arial" w:cs="Arial"/>
          <w:color w:val="000000" w:themeColor="text1"/>
          <w:szCs w:val="22"/>
        </w:rPr>
        <w:t>that you have requested. A response to each element of your request is detailed below</w:t>
      </w:r>
      <w:r w:rsidR="00C660B7" w:rsidRPr="00A11B9F">
        <w:rPr>
          <w:rFonts w:ascii="Arial" w:hAnsi="Arial" w:cs="Arial"/>
          <w:color w:val="000000" w:themeColor="text1"/>
          <w:szCs w:val="22"/>
        </w:rPr>
        <w:t>.</w:t>
      </w:r>
    </w:p>
    <w:p w14:paraId="48F99E92" w14:textId="77777777" w:rsidR="00A752F5" w:rsidRDefault="00A752F5" w:rsidP="00957674">
      <w:pPr>
        <w:overflowPunct w:val="0"/>
        <w:rPr>
          <w:rFonts w:ascii="Arial" w:hAnsi="Arial" w:cs="Arial"/>
          <w:color w:val="000000" w:themeColor="text1"/>
          <w:szCs w:val="22"/>
        </w:rPr>
      </w:pPr>
    </w:p>
    <w:p w14:paraId="4345251F" w14:textId="7F0A01D9" w:rsidR="00E41AC9" w:rsidRDefault="00E41AC9" w:rsidP="00E41AC9">
      <w:pPr>
        <w:rPr>
          <w:rFonts w:ascii="Arial" w:hAnsi="Arial" w:cs="Arial"/>
          <w:color w:val="000000"/>
          <w:lang w:eastAsia="en-GB"/>
        </w:rPr>
      </w:pPr>
      <w:r>
        <w:rPr>
          <w:rFonts w:ascii="Arial" w:hAnsi="Arial" w:cs="Arial"/>
          <w:color w:val="000000"/>
        </w:rPr>
        <w:t xml:space="preserve">The information requested below is not held by NHS Lincolnshire Integrated Care Board.  </w:t>
      </w:r>
      <w:r>
        <w:rPr>
          <w:rStyle w:val="normaltextrun"/>
          <w:rFonts w:ascii="Arial" w:hAnsi="Arial" w:cs="Arial"/>
          <w:color w:val="000000"/>
          <w:shd w:val="clear" w:color="auto" w:fill="FFFFFF"/>
        </w:rPr>
        <w:t xml:space="preserve">We would recommend you contact </w:t>
      </w:r>
      <w:hyperlink r:id="rId12" w:history="1">
        <w:r>
          <w:rPr>
            <w:rStyle w:val="Hyperlink"/>
            <w:rFonts w:ascii="Arial" w:hAnsi="Arial" w:cs="Arial"/>
            <w:shd w:val="clear" w:color="auto" w:fill="FFFFFF"/>
          </w:rPr>
          <w:t>Lincolnshire County Council</w:t>
        </w:r>
      </w:hyperlink>
      <w:r>
        <w:rPr>
          <w:rStyle w:val="normaltextrun"/>
          <w:rFonts w:ascii="Arial" w:hAnsi="Arial" w:cs="Arial"/>
          <w:color w:val="000000"/>
          <w:shd w:val="clear" w:color="auto" w:fill="FFFFFF"/>
        </w:rPr>
        <w:t xml:space="preserve"> (LCC)</w:t>
      </w:r>
      <w:r>
        <w:rPr>
          <w:rFonts w:ascii="Arial" w:hAnsi="Arial" w:cs="Arial"/>
        </w:rPr>
        <w:t xml:space="preserve"> directly f</w:t>
      </w:r>
      <w:r>
        <w:rPr>
          <w:rStyle w:val="normaltextrun"/>
          <w:rFonts w:ascii="Arial" w:hAnsi="Arial" w:cs="Arial"/>
          <w:color w:val="000000"/>
          <w:shd w:val="clear" w:color="auto" w:fill="FFFFFF"/>
        </w:rPr>
        <w:t>or the information you require.</w:t>
      </w:r>
    </w:p>
    <w:p w14:paraId="17869858" w14:textId="3C258493" w:rsidR="00A752F5" w:rsidRPr="00A11B9F" w:rsidRDefault="00E41AC9" w:rsidP="00E41AC9">
      <w:pPr>
        <w:rPr>
          <w:rFonts w:ascii="Arial" w:hAnsi="Arial" w:cs="Arial"/>
          <w:color w:val="000000" w:themeColor="text1"/>
          <w:szCs w:val="22"/>
        </w:rPr>
      </w:pPr>
      <w:r>
        <w:rPr>
          <w:rStyle w:val="normaltextrun"/>
          <w:rFonts w:ascii="Arial" w:hAnsi="Arial" w:cs="Arial"/>
          <w:color w:val="000000"/>
          <w:shd w:val="clear" w:color="auto" w:fill="FFFFFF"/>
        </w:rPr>
        <w:t>In terms of CAMHS LCC acts as the lead commissioner on behalf of the ICB</w:t>
      </w:r>
      <w:r>
        <w:t xml:space="preserve">. </w:t>
      </w:r>
    </w:p>
    <w:p w14:paraId="6089AAA8" w14:textId="77777777" w:rsidR="00E56DF1" w:rsidRPr="0026722C" w:rsidRDefault="00E56DF1" w:rsidP="00957674">
      <w:pPr>
        <w:overflowPunct w:val="0"/>
        <w:rPr>
          <w:rFonts w:ascii="Arial" w:hAnsi="Arial" w:cs="Arial"/>
          <w:b/>
          <w:bCs/>
          <w:szCs w:val="22"/>
        </w:rPr>
      </w:pPr>
    </w:p>
    <w:p w14:paraId="12847715" w14:textId="77777777" w:rsidR="00A752F5" w:rsidRPr="00A752F5" w:rsidRDefault="00A752F5" w:rsidP="00A752F5">
      <w:pPr>
        <w:rPr>
          <w:rFonts w:ascii="Arial" w:hAnsi="Arial" w:cs="Arial"/>
          <w:b/>
          <w:bCs/>
          <w:szCs w:val="22"/>
        </w:rPr>
      </w:pPr>
      <w:r w:rsidRPr="00A752F5">
        <w:rPr>
          <w:rFonts w:ascii="Arial" w:hAnsi="Arial" w:cs="Arial"/>
          <w:b/>
          <w:bCs/>
          <w:szCs w:val="22"/>
        </w:rPr>
        <w:t>(a) Average waiting time (i.e. number of days) for a child or young person from referral to first appointment with CAMHS/CYPMHS in 2022, or the latest full year for which you have data.</w:t>
      </w:r>
    </w:p>
    <w:p w14:paraId="7ED928DB" w14:textId="77777777" w:rsidR="00A752F5" w:rsidRPr="00A752F5" w:rsidRDefault="00A752F5" w:rsidP="00A752F5">
      <w:pPr>
        <w:rPr>
          <w:rFonts w:ascii="Arial" w:hAnsi="Arial" w:cs="Arial"/>
          <w:b/>
          <w:bCs/>
          <w:szCs w:val="22"/>
        </w:rPr>
      </w:pPr>
    </w:p>
    <w:p w14:paraId="6C015DA8" w14:textId="77777777" w:rsidR="00A752F5" w:rsidRPr="00A752F5" w:rsidRDefault="00A752F5" w:rsidP="00A752F5">
      <w:pPr>
        <w:rPr>
          <w:rFonts w:ascii="Arial" w:hAnsi="Arial" w:cs="Arial"/>
          <w:b/>
          <w:bCs/>
          <w:szCs w:val="22"/>
        </w:rPr>
      </w:pPr>
      <w:r w:rsidRPr="00A752F5">
        <w:rPr>
          <w:rFonts w:ascii="Arial" w:hAnsi="Arial" w:cs="Arial"/>
          <w:b/>
          <w:bCs/>
          <w:szCs w:val="22"/>
        </w:rPr>
        <w:t>(b) Current typical waiting time for a child or young person being referred to CAMHS/CYPMHS today.</w:t>
      </w:r>
    </w:p>
    <w:p w14:paraId="0B72D8DD" w14:textId="77777777" w:rsidR="00A752F5" w:rsidRPr="00A752F5" w:rsidRDefault="00A752F5" w:rsidP="00A752F5">
      <w:pPr>
        <w:rPr>
          <w:rFonts w:ascii="Arial" w:hAnsi="Arial" w:cs="Arial"/>
          <w:b/>
          <w:bCs/>
          <w:szCs w:val="22"/>
        </w:rPr>
      </w:pPr>
    </w:p>
    <w:p w14:paraId="4FF6603D" w14:textId="77777777" w:rsidR="00A752F5" w:rsidRPr="00A752F5" w:rsidRDefault="00A752F5" w:rsidP="00A752F5">
      <w:pPr>
        <w:rPr>
          <w:rFonts w:ascii="Arial" w:hAnsi="Arial" w:cs="Arial"/>
          <w:b/>
          <w:bCs/>
          <w:szCs w:val="22"/>
        </w:rPr>
      </w:pPr>
      <w:r w:rsidRPr="00A752F5">
        <w:rPr>
          <w:rFonts w:ascii="Arial" w:hAnsi="Arial" w:cs="Arial"/>
          <w:b/>
          <w:bCs/>
          <w:szCs w:val="22"/>
        </w:rPr>
        <w:t>(For clarity, if a child was referred on 1st January and had to wait until 1st July for their first appointment, this would be a wait of 181 days)</w:t>
      </w:r>
    </w:p>
    <w:p w14:paraId="39D6E8B7" w14:textId="77777777" w:rsidR="00A752F5" w:rsidRPr="00A752F5" w:rsidRDefault="00A752F5" w:rsidP="00A752F5">
      <w:pPr>
        <w:rPr>
          <w:rFonts w:ascii="Arial" w:hAnsi="Arial" w:cs="Arial"/>
          <w:b/>
          <w:bCs/>
          <w:szCs w:val="22"/>
        </w:rPr>
      </w:pPr>
    </w:p>
    <w:p w14:paraId="7605C27F" w14:textId="04AA852F" w:rsidR="0026722C" w:rsidRDefault="00A752F5" w:rsidP="00A752F5">
      <w:pPr>
        <w:rPr>
          <w:rFonts w:ascii="Arial" w:hAnsi="Arial" w:cs="Arial"/>
          <w:b/>
          <w:bCs/>
          <w:szCs w:val="22"/>
        </w:rPr>
      </w:pPr>
      <w:r w:rsidRPr="00A752F5">
        <w:rPr>
          <w:rFonts w:ascii="Arial" w:hAnsi="Arial" w:cs="Arial"/>
          <w:b/>
          <w:bCs/>
          <w:szCs w:val="22"/>
        </w:rPr>
        <w:t>If the area covered by your ICB means that there is more than one answer to (a) and (b) above, please provide answers for all cases.  E.g. if your ICB covers three areas, each with their own CAMHS/CYPMHS access points and waiting times, please provide answers for all three.</w:t>
      </w:r>
    </w:p>
    <w:p w14:paraId="27296556" w14:textId="77777777" w:rsidR="00A752F5" w:rsidRPr="0026722C" w:rsidRDefault="00A752F5" w:rsidP="00A752F5">
      <w:pPr>
        <w:rPr>
          <w:rFonts w:cs="Arial"/>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lastRenderedPageBreak/>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000000"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13D13A" w14:textId="77777777" w:rsidR="00314474" w:rsidRDefault="00314474" w:rsidP="00425FAE">
      <w:r>
        <w:separator/>
      </w:r>
    </w:p>
  </w:endnote>
  <w:endnote w:type="continuationSeparator" w:id="0">
    <w:p w14:paraId="4A498C95" w14:textId="77777777" w:rsidR="00314474" w:rsidRDefault="00314474"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116F56" w14:textId="77777777" w:rsidR="00314474" w:rsidRDefault="00314474" w:rsidP="00425FAE">
      <w:r>
        <w:separator/>
      </w:r>
    </w:p>
  </w:footnote>
  <w:footnote w:type="continuationSeparator" w:id="0">
    <w:p w14:paraId="539BCA76" w14:textId="77777777" w:rsidR="00314474" w:rsidRDefault="00314474"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4"/>
  </w:num>
  <w:num w:numId="3" w16cid:durableId="1591349649">
    <w:abstractNumId w:val="2"/>
  </w:num>
  <w:num w:numId="4" w16cid:durableId="318922001">
    <w:abstractNumId w:val="5"/>
  </w:num>
  <w:num w:numId="5" w16cid:durableId="1157503013">
    <w:abstractNumId w:val="1"/>
  </w:num>
  <w:num w:numId="6" w16cid:durableId="63125463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4474"/>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5F7"/>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5D5"/>
    <w:rsid w:val="00773B3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gbr01.safelinks.protection.outlook.com/?url=https%3A%2F%2Fwww.lincolnshire.gov.uk%2F&amp;data=05%7C01%7Cagem.lincolnshireicb.foi%40nhs.net%7C729ddfa949884454671d08db2f7d4f0d%7C37c354b285b047f5b22207b48d774ee3%7C0%7C0%7C638155987456145238%7CUnknown%7CTWFpbGZsb3d8eyJWIjoiMC4wLjAwMDAiLCJQIjoiV2luMzIiLCJBTiI6Ik1haWwiLCJXVCI6Mn0%3D%7C3000%7C%7C%7C&amp;sdata=Lvy0qTmZzwojGbuGxt80WfqIwcsYmN3%2FyNXYvJ8TVI0%3D&amp;reserved=0"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36A49510-3D5C-4B7E-9AD2-6B127B49BF9D}"/>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1</Pages>
  <Words>562</Words>
  <Characters>3206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7</cp:revision>
  <dcterms:created xsi:type="dcterms:W3CDTF">2023-04-21T12:45:00Z</dcterms:created>
  <dcterms:modified xsi:type="dcterms:W3CDTF">2023-04-24T11:41:00Z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