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CBE57" w14:textId="77777777" w:rsidR="00C570E7" w:rsidRDefault="00C570E7" w:rsidP="00CC06A1">
      <w:pPr>
        <w:spacing w:after="0" w:line="240" w:lineRule="auto"/>
        <w:rPr>
          <w:rFonts w:ascii="Arial" w:hAnsi="Arial" w:cs="Arial"/>
          <w:b/>
          <w:bCs/>
          <w:color w:val="231F20"/>
          <w:sz w:val="24"/>
          <w:szCs w:val="24"/>
        </w:rPr>
      </w:pPr>
    </w:p>
    <w:p w14:paraId="571F0A5D" w14:textId="6FD98EBC" w:rsidR="00C570E7" w:rsidRPr="0043292D" w:rsidRDefault="00C570E7" w:rsidP="00CC06A1">
      <w:pPr>
        <w:spacing w:after="0" w:line="240" w:lineRule="auto"/>
        <w:rPr>
          <w:rFonts w:ascii="Arial" w:hAnsi="Arial" w:cs="Arial"/>
        </w:rPr>
      </w:pPr>
      <w:r w:rsidRPr="0043292D">
        <w:rPr>
          <w:rFonts w:ascii="Arial" w:hAnsi="Arial" w:cs="Arial"/>
          <w:color w:val="3F525F"/>
          <w:shd w:val="clear" w:color="auto" w:fill="FFFFFF"/>
        </w:rPr>
        <w:t>Following</w:t>
      </w:r>
      <w:r w:rsidR="005162D1" w:rsidRPr="0043292D">
        <w:rPr>
          <w:rFonts w:ascii="Arial" w:hAnsi="Arial" w:cs="Arial"/>
          <w:color w:val="3F525F"/>
          <w:shd w:val="clear" w:color="auto" w:fill="FFFFFF"/>
        </w:rPr>
        <w:t xml:space="preserve"> changes to the 2023/24 GP contract, </w:t>
      </w:r>
      <w:r w:rsidRPr="0043292D">
        <w:rPr>
          <w:rFonts w:ascii="Arial" w:hAnsi="Arial" w:cs="Arial"/>
          <w:color w:val="3F525F"/>
          <w:shd w:val="clear" w:color="auto" w:fill="FFFFFF"/>
        </w:rPr>
        <w:t>new health information will be available to all patients (unless they have individually decided to opt-out or any exceptions apply) by 31 October 2023 at the latest</w:t>
      </w:r>
      <w:r w:rsidR="005162D1" w:rsidRPr="0043292D">
        <w:rPr>
          <w:rFonts w:ascii="Arial" w:hAnsi="Arial" w:cs="Arial"/>
          <w:color w:val="3F525F"/>
          <w:shd w:val="clear" w:color="auto" w:fill="FFFFFF"/>
        </w:rPr>
        <w:t xml:space="preserve">. </w:t>
      </w:r>
      <w:hyperlink r:id="rId7" w:history="1">
        <w:r w:rsidR="005162D1" w:rsidRPr="0043292D">
          <w:rPr>
            <w:rFonts w:ascii="Arial" w:hAnsi="Arial" w:cs="Arial"/>
            <w:color w:val="0000FF"/>
            <w:u w:val="single"/>
          </w:rPr>
          <w:t>Online access to GP health records - NHS Digital</w:t>
        </w:r>
      </w:hyperlink>
    </w:p>
    <w:p w14:paraId="4819714D" w14:textId="55B6DE9B" w:rsidR="005162D1" w:rsidRPr="005162D1" w:rsidRDefault="005162D1" w:rsidP="005162D1">
      <w:pPr>
        <w:spacing w:before="100" w:beforeAutospacing="1" w:after="100" w:afterAutospacing="1" w:line="240" w:lineRule="auto"/>
        <w:rPr>
          <w:rFonts w:ascii="Arial" w:eastAsia="Times New Roman" w:hAnsi="Arial" w:cs="Arial"/>
          <w:color w:val="3F525F"/>
          <w:lang w:eastAsia="en-GB"/>
        </w:rPr>
      </w:pPr>
      <w:r w:rsidRPr="005162D1">
        <w:rPr>
          <w:rFonts w:ascii="Arial" w:eastAsia="Times New Roman" w:hAnsi="Arial" w:cs="Arial"/>
          <w:color w:val="3F525F"/>
          <w:lang w:eastAsia="en-GB"/>
        </w:rPr>
        <w:t xml:space="preserve">While enabling patients to view their medical records will be beneficial to </w:t>
      </w:r>
      <w:proofErr w:type="gramStart"/>
      <w:r w:rsidRPr="005162D1">
        <w:rPr>
          <w:rFonts w:ascii="Arial" w:eastAsia="Times New Roman" w:hAnsi="Arial" w:cs="Arial"/>
          <w:color w:val="3F525F"/>
          <w:lang w:eastAsia="en-GB"/>
        </w:rPr>
        <w:t>the majority of</w:t>
      </w:r>
      <w:proofErr w:type="gramEnd"/>
      <w:r w:rsidRPr="005162D1">
        <w:rPr>
          <w:rFonts w:ascii="Arial" w:eastAsia="Times New Roman" w:hAnsi="Arial" w:cs="Arial"/>
          <w:color w:val="3F525F"/>
          <w:lang w:eastAsia="en-GB"/>
        </w:rPr>
        <w:t xml:space="preserve"> patients, there may be challenges for a minority. This is especially true in relation to safeguarding, as the record may contain information that is confidential and sensitive, which the patient must not see, or could be harmful</w:t>
      </w:r>
      <w:r w:rsidR="003A4458">
        <w:rPr>
          <w:rFonts w:ascii="Arial" w:eastAsia="Times New Roman" w:hAnsi="Arial" w:cs="Arial"/>
          <w:color w:val="3F525F"/>
          <w:lang w:eastAsia="en-GB"/>
        </w:rPr>
        <w:t>.</w:t>
      </w:r>
      <w:r w:rsidRPr="005162D1">
        <w:rPr>
          <w:rFonts w:ascii="Arial" w:eastAsia="Times New Roman" w:hAnsi="Arial" w:cs="Arial"/>
          <w:color w:val="3F525F"/>
          <w:lang w:eastAsia="en-GB"/>
        </w:rPr>
        <w:t xml:space="preserve"> The importance of safeguarding patients from harm is paramount. It may be appropriate to redact specific information entered into the GP medical record or prevent the patient from having access</w:t>
      </w:r>
      <w:r w:rsidR="005D1225">
        <w:rPr>
          <w:rFonts w:ascii="Arial" w:eastAsia="Times New Roman" w:hAnsi="Arial" w:cs="Arial"/>
          <w:color w:val="3F525F"/>
          <w:lang w:eastAsia="en-GB"/>
        </w:rPr>
        <w:t xml:space="preserve"> (</w:t>
      </w:r>
      <w:proofErr w:type="spellStart"/>
      <w:r w:rsidR="005D1225">
        <w:rPr>
          <w:rFonts w:ascii="Arial" w:eastAsia="Times New Roman" w:hAnsi="Arial" w:cs="Arial"/>
          <w:color w:val="3F525F"/>
          <w:lang w:eastAsia="en-GB"/>
        </w:rPr>
        <w:t>eg.</w:t>
      </w:r>
      <w:proofErr w:type="spellEnd"/>
      <w:r w:rsidR="005D1225">
        <w:rPr>
          <w:rFonts w:ascii="Arial" w:eastAsia="Times New Roman" w:hAnsi="Arial" w:cs="Arial"/>
          <w:color w:val="3F525F"/>
          <w:lang w:eastAsia="en-GB"/>
        </w:rPr>
        <w:t xml:space="preserve"> applying the 104 code)</w:t>
      </w:r>
      <w:r w:rsidRPr="005162D1">
        <w:rPr>
          <w:rFonts w:ascii="Arial" w:eastAsia="Times New Roman" w:hAnsi="Arial" w:cs="Arial"/>
          <w:color w:val="3F525F"/>
          <w:lang w:eastAsia="en-GB"/>
        </w:rPr>
        <w:t>. </w:t>
      </w:r>
    </w:p>
    <w:p w14:paraId="131C73D0" w14:textId="0CB92ECC" w:rsidR="005162D1" w:rsidRPr="005162D1" w:rsidRDefault="005162D1" w:rsidP="005162D1">
      <w:pPr>
        <w:spacing w:before="100" w:beforeAutospacing="1" w:after="100" w:afterAutospacing="1" w:line="240" w:lineRule="auto"/>
        <w:rPr>
          <w:rFonts w:ascii="Arial" w:eastAsia="Times New Roman" w:hAnsi="Arial" w:cs="Arial"/>
          <w:color w:val="3F525F"/>
          <w:lang w:eastAsia="en-GB"/>
        </w:rPr>
      </w:pPr>
      <w:r w:rsidRPr="005162D1">
        <w:rPr>
          <w:rFonts w:ascii="Arial" w:eastAsia="Times New Roman" w:hAnsi="Arial" w:cs="Arial"/>
          <w:color w:val="3F525F"/>
          <w:lang w:eastAsia="en-GB"/>
        </w:rPr>
        <w:t xml:space="preserve">In response to these concerns, the Royal College of General Practitioners </w:t>
      </w:r>
      <w:r w:rsidR="0043292D" w:rsidRPr="0043292D">
        <w:rPr>
          <w:rFonts w:ascii="Arial" w:eastAsia="Times New Roman" w:hAnsi="Arial" w:cs="Arial"/>
          <w:color w:val="3F525F"/>
          <w:lang w:eastAsia="en-GB"/>
        </w:rPr>
        <w:t xml:space="preserve">has updated </w:t>
      </w:r>
      <w:hyperlink r:id="rId8" w:history="1">
        <w:r w:rsidRPr="005162D1">
          <w:rPr>
            <w:rFonts w:ascii="Arial" w:eastAsia="Times New Roman" w:hAnsi="Arial" w:cs="Arial"/>
            <w:color w:val="0000FF"/>
            <w:u w:val="single"/>
            <w:bdr w:val="none" w:sz="0" w:space="0" w:color="auto" w:frame="1"/>
            <w:lang w:eastAsia="en-GB"/>
          </w:rPr>
          <w:t>GP Online Services toolkit</w:t>
        </w:r>
      </w:hyperlink>
      <w:r w:rsidRPr="005162D1">
        <w:rPr>
          <w:rFonts w:ascii="Arial" w:eastAsia="Times New Roman" w:hAnsi="Arial" w:cs="Arial"/>
          <w:color w:val="3F525F"/>
          <w:lang w:eastAsia="en-GB"/>
        </w:rPr>
        <w:t>, in collaboration with safeguarding experts. This will cover situations where safeguarding concerns may arise, and the steps clinicians could take to mitigate risks.</w:t>
      </w:r>
    </w:p>
    <w:p w14:paraId="4E29FC69" w14:textId="49FD6C84" w:rsidR="0043292D" w:rsidRPr="0043292D" w:rsidRDefault="0043292D" w:rsidP="0043292D">
      <w:pPr>
        <w:shd w:val="clear" w:color="auto" w:fill="FFFFFF"/>
        <w:spacing w:after="100" w:afterAutospacing="1" w:line="240" w:lineRule="auto"/>
        <w:rPr>
          <w:rFonts w:ascii="Arial" w:eastAsia="Times New Roman" w:hAnsi="Arial" w:cs="Arial"/>
          <w:color w:val="515A63"/>
          <w:lang w:eastAsia="en-GB"/>
        </w:rPr>
      </w:pPr>
      <w:r w:rsidRPr="0043292D">
        <w:rPr>
          <w:rFonts w:ascii="Arial" w:eastAsia="Times New Roman" w:hAnsi="Arial" w:cs="Arial"/>
          <w:color w:val="515A63"/>
          <w:lang w:val="en-US" w:eastAsia="en-GB"/>
        </w:rPr>
        <w:t>Patients who are subject to controlling coercion by an abuser are the most common group at risk from record access</w:t>
      </w:r>
      <w:r w:rsidR="005D1225">
        <w:rPr>
          <w:rFonts w:ascii="Arial" w:eastAsia="Times New Roman" w:hAnsi="Arial" w:cs="Arial"/>
          <w:color w:val="515A63"/>
          <w:lang w:val="en-US" w:eastAsia="en-GB"/>
        </w:rPr>
        <w:t>.</w:t>
      </w:r>
    </w:p>
    <w:p w14:paraId="3BC53158" w14:textId="5758967A" w:rsidR="0043292D" w:rsidRPr="0043292D" w:rsidRDefault="0043292D" w:rsidP="0043292D">
      <w:pPr>
        <w:shd w:val="clear" w:color="auto" w:fill="FFFFFF"/>
        <w:spacing w:after="100" w:afterAutospacing="1" w:line="240" w:lineRule="auto"/>
        <w:rPr>
          <w:rFonts w:ascii="Arial" w:eastAsia="Times New Roman" w:hAnsi="Arial" w:cs="Arial"/>
          <w:color w:val="515A63"/>
          <w:lang w:eastAsia="en-GB"/>
        </w:rPr>
      </w:pPr>
      <w:r w:rsidRPr="0043292D">
        <w:rPr>
          <w:rFonts w:ascii="Arial" w:eastAsia="Times New Roman" w:hAnsi="Arial" w:cs="Arial"/>
          <w:color w:val="515A63"/>
          <w:lang w:val="en-US" w:eastAsia="en-GB"/>
        </w:rPr>
        <w:t xml:space="preserve">Patients who register for the NHS App will automatically receive access to book and cancel appointments, order repeat prescriptions and </w:t>
      </w:r>
      <w:r>
        <w:rPr>
          <w:rFonts w:ascii="Arial" w:eastAsia="Times New Roman" w:hAnsi="Arial" w:cs="Arial"/>
          <w:color w:val="515A63"/>
          <w:lang w:val="en-US" w:eastAsia="en-GB"/>
        </w:rPr>
        <w:t xml:space="preserve">gain </w:t>
      </w:r>
      <w:r w:rsidRPr="0043292D">
        <w:rPr>
          <w:rFonts w:ascii="Arial" w:eastAsia="Times New Roman" w:hAnsi="Arial" w:cs="Arial"/>
          <w:color w:val="515A63"/>
          <w:lang w:val="en-US" w:eastAsia="en-GB"/>
        </w:rPr>
        <w:t>record access.</w:t>
      </w:r>
    </w:p>
    <w:p w14:paraId="693DE813" w14:textId="3261B975" w:rsidR="0043292D" w:rsidRPr="0043292D" w:rsidRDefault="0043292D" w:rsidP="0043292D">
      <w:pPr>
        <w:shd w:val="clear" w:color="auto" w:fill="FFFFFF"/>
        <w:spacing w:after="100" w:afterAutospacing="1" w:line="240" w:lineRule="auto"/>
        <w:rPr>
          <w:rFonts w:ascii="Arial" w:eastAsia="Times New Roman" w:hAnsi="Arial" w:cs="Arial"/>
          <w:color w:val="515A63"/>
          <w:lang w:eastAsia="en-GB"/>
        </w:rPr>
      </w:pPr>
      <w:r w:rsidRPr="0043292D">
        <w:rPr>
          <w:rFonts w:ascii="Arial" w:eastAsia="Times New Roman" w:hAnsi="Arial" w:cs="Arial"/>
          <w:color w:val="515A63"/>
          <w:lang w:val="en-US" w:eastAsia="en-GB"/>
        </w:rPr>
        <w:t>If the patient is not able to keep these services secure, providing access could allow abusers to monitor</w:t>
      </w:r>
      <w:r>
        <w:rPr>
          <w:rFonts w:ascii="Arial" w:eastAsia="Times New Roman" w:hAnsi="Arial" w:cs="Arial"/>
          <w:color w:val="515A63"/>
          <w:lang w:val="en-US" w:eastAsia="en-GB"/>
        </w:rPr>
        <w:t xml:space="preserve"> i</w:t>
      </w:r>
      <w:r w:rsidRPr="0043292D">
        <w:rPr>
          <w:rFonts w:ascii="Arial" w:eastAsia="Times New Roman" w:hAnsi="Arial" w:cs="Arial"/>
          <w:color w:val="515A63"/>
          <w:lang w:val="en-US" w:eastAsia="en-GB"/>
        </w:rPr>
        <w:t>f the victim has revealed abuse</w:t>
      </w:r>
      <w:r>
        <w:rPr>
          <w:rFonts w:ascii="Arial" w:eastAsia="Times New Roman" w:hAnsi="Arial" w:cs="Arial"/>
          <w:color w:val="515A63"/>
          <w:lang w:val="en-US" w:eastAsia="en-GB"/>
        </w:rPr>
        <w:t xml:space="preserve">, </w:t>
      </w:r>
      <w:proofErr w:type="spellStart"/>
      <w:r>
        <w:rPr>
          <w:rFonts w:ascii="Arial" w:eastAsia="Times New Roman" w:hAnsi="Arial" w:cs="Arial"/>
          <w:color w:val="515A63"/>
          <w:lang w:val="en-US" w:eastAsia="en-GB"/>
        </w:rPr>
        <w:t>i</w:t>
      </w:r>
      <w:r w:rsidRPr="0043292D">
        <w:rPr>
          <w:rFonts w:ascii="Arial" w:eastAsia="Times New Roman" w:hAnsi="Arial" w:cs="Arial"/>
          <w:color w:val="515A63"/>
          <w:lang w:eastAsia="en-GB"/>
        </w:rPr>
        <w:t>f</w:t>
      </w:r>
      <w:proofErr w:type="spellEnd"/>
      <w:r w:rsidRPr="0043292D">
        <w:rPr>
          <w:rFonts w:ascii="Arial" w:eastAsia="Times New Roman" w:hAnsi="Arial" w:cs="Arial"/>
          <w:color w:val="515A63"/>
          <w:lang w:eastAsia="en-GB"/>
        </w:rPr>
        <w:t xml:space="preserve"> the victim has accessed healthcare, especially issues like injuries, mental health, </w:t>
      </w:r>
      <w:proofErr w:type="gramStart"/>
      <w:r w:rsidRPr="0043292D">
        <w:rPr>
          <w:rFonts w:ascii="Arial" w:eastAsia="Times New Roman" w:hAnsi="Arial" w:cs="Arial"/>
          <w:color w:val="515A63"/>
          <w:lang w:eastAsia="en-GB"/>
        </w:rPr>
        <w:t>contraception</w:t>
      </w:r>
      <w:proofErr w:type="gramEnd"/>
      <w:r w:rsidRPr="0043292D">
        <w:rPr>
          <w:rFonts w:ascii="Arial" w:eastAsia="Times New Roman" w:hAnsi="Arial" w:cs="Arial"/>
          <w:color w:val="515A63"/>
          <w:lang w:eastAsia="en-GB"/>
        </w:rPr>
        <w:t xml:space="preserve"> or sexual health</w:t>
      </w:r>
      <w:r>
        <w:rPr>
          <w:rFonts w:ascii="Arial" w:eastAsia="Times New Roman" w:hAnsi="Arial" w:cs="Arial"/>
          <w:color w:val="515A63"/>
          <w:lang w:eastAsia="en-GB"/>
        </w:rPr>
        <w:t>, and/or e</w:t>
      </w:r>
      <w:r w:rsidRPr="0043292D">
        <w:rPr>
          <w:rFonts w:ascii="Arial" w:eastAsia="Times New Roman" w:hAnsi="Arial" w:cs="Arial"/>
          <w:color w:val="515A63"/>
          <w:lang w:eastAsia="en-GB"/>
        </w:rPr>
        <w:t>vidence in documents that other agencies have recognised abuse</w:t>
      </w:r>
      <w:r>
        <w:rPr>
          <w:rFonts w:ascii="Arial" w:eastAsia="Times New Roman" w:hAnsi="Arial" w:cs="Arial"/>
          <w:color w:val="515A63"/>
          <w:lang w:eastAsia="en-GB"/>
        </w:rPr>
        <w:t>.</w:t>
      </w:r>
    </w:p>
    <w:p w14:paraId="3539F985" w14:textId="77777777" w:rsidR="0043292D" w:rsidRPr="0043292D" w:rsidRDefault="0043292D" w:rsidP="0043292D">
      <w:pPr>
        <w:shd w:val="clear" w:color="auto" w:fill="FFFFFF"/>
        <w:spacing w:after="100" w:afterAutospacing="1" w:line="240" w:lineRule="auto"/>
        <w:rPr>
          <w:rFonts w:ascii="Arial" w:eastAsia="Times New Roman" w:hAnsi="Arial" w:cs="Arial"/>
          <w:color w:val="515A63"/>
          <w:lang w:eastAsia="en-GB"/>
        </w:rPr>
      </w:pPr>
      <w:r w:rsidRPr="0043292D">
        <w:rPr>
          <w:rFonts w:ascii="Arial" w:eastAsia="Times New Roman" w:hAnsi="Arial" w:cs="Arial"/>
          <w:color w:val="515A63"/>
          <w:lang w:val="en-US" w:eastAsia="en-GB"/>
        </w:rPr>
        <w:t xml:space="preserve">The Toolkit has guidance on how to </w:t>
      </w:r>
      <w:proofErr w:type="spellStart"/>
      <w:r w:rsidRPr="0043292D">
        <w:rPr>
          <w:rFonts w:ascii="Arial" w:eastAsia="Times New Roman" w:hAnsi="Arial" w:cs="Arial"/>
          <w:color w:val="515A63"/>
          <w:lang w:val="en-US" w:eastAsia="en-GB"/>
        </w:rPr>
        <w:t>recognise</w:t>
      </w:r>
      <w:proofErr w:type="spellEnd"/>
      <w:r w:rsidRPr="0043292D">
        <w:rPr>
          <w:rFonts w:ascii="Arial" w:eastAsia="Times New Roman" w:hAnsi="Arial" w:cs="Arial"/>
          <w:color w:val="515A63"/>
          <w:lang w:val="en-US" w:eastAsia="en-GB"/>
        </w:rPr>
        <w:t xml:space="preserve"> coercion and the safeguarding risks. This is relevant to every patient, not just those who currently have record access or who may currently have known safeguarding risks.  Any patient may obtain access, and safeguarding risks may fluctuate. </w:t>
      </w:r>
    </w:p>
    <w:p w14:paraId="0C263451" w14:textId="77777777" w:rsidR="0043292D" w:rsidRPr="0043292D" w:rsidRDefault="00000000" w:rsidP="0043292D">
      <w:pPr>
        <w:numPr>
          <w:ilvl w:val="0"/>
          <w:numId w:val="2"/>
        </w:numPr>
        <w:shd w:val="clear" w:color="auto" w:fill="FFFFFF"/>
        <w:spacing w:before="100" w:beforeAutospacing="1" w:after="100" w:afterAutospacing="1" w:line="240" w:lineRule="auto"/>
        <w:rPr>
          <w:rFonts w:ascii="Arial" w:eastAsia="Times New Roman" w:hAnsi="Arial" w:cs="Arial"/>
          <w:color w:val="515A63"/>
          <w:lang w:eastAsia="en-GB"/>
        </w:rPr>
      </w:pPr>
      <w:hyperlink r:id="rId9" w:tgtFrame="_blank" w:history="1">
        <w:r w:rsidR="0043292D" w:rsidRPr="0043292D">
          <w:rPr>
            <w:rFonts w:ascii="Arial" w:eastAsia="Times New Roman" w:hAnsi="Arial" w:cs="Arial"/>
            <w:color w:val="1059A9"/>
            <w:u w:val="single"/>
            <w:lang w:eastAsia="en-GB"/>
          </w:rPr>
          <w:t>Coercion (154 KB DOC)</w:t>
        </w:r>
      </w:hyperlink>
      <w:r w:rsidR="0043292D" w:rsidRPr="0043292D">
        <w:rPr>
          <w:rFonts w:ascii="Arial" w:eastAsia="Times New Roman" w:hAnsi="Arial" w:cs="Arial"/>
          <w:color w:val="515A63"/>
          <w:lang w:eastAsia="en-GB"/>
        </w:rPr>
        <w:t> – Guidance on the impact of coercion to share record access with a third person or failure to maintain the privacy of online record access.</w:t>
      </w:r>
    </w:p>
    <w:p w14:paraId="30B1C877" w14:textId="77777777" w:rsidR="0043292D" w:rsidRPr="0043292D" w:rsidRDefault="00000000" w:rsidP="0043292D">
      <w:pPr>
        <w:numPr>
          <w:ilvl w:val="0"/>
          <w:numId w:val="2"/>
        </w:numPr>
        <w:shd w:val="clear" w:color="auto" w:fill="FFFFFF"/>
        <w:spacing w:before="100" w:beforeAutospacing="1" w:after="100" w:afterAutospacing="1" w:line="240" w:lineRule="auto"/>
        <w:rPr>
          <w:rFonts w:ascii="Arial" w:eastAsia="Times New Roman" w:hAnsi="Arial" w:cs="Arial"/>
          <w:color w:val="515A63"/>
          <w:lang w:eastAsia="en-GB"/>
        </w:rPr>
      </w:pPr>
      <w:hyperlink r:id="rId10" w:tgtFrame="_blank" w:history="1">
        <w:r w:rsidR="0043292D" w:rsidRPr="0043292D">
          <w:rPr>
            <w:rFonts w:ascii="Arial" w:eastAsia="Times New Roman" w:hAnsi="Arial" w:cs="Arial"/>
            <w:color w:val="1059A9"/>
            <w:u w:val="single"/>
            <w:lang w:eastAsia="en-GB"/>
          </w:rPr>
          <w:t>Safeguarding and automatic record access (733 KB DOC)</w:t>
        </w:r>
      </w:hyperlink>
      <w:r w:rsidR="0043292D" w:rsidRPr="0043292D">
        <w:rPr>
          <w:rFonts w:ascii="Arial" w:eastAsia="Times New Roman" w:hAnsi="Arial" w:cs="Arial"/>
          <w:color w:val="515A63"/>
          <w:lang w:eastAsia="en-GB"/>
        </w:rPr>
        <w:t> – Guidance on managing safeguarding risks and online record access.</w:t>
      </w:r>
    </w:p>
    <w:p w14:paraId="2F644A2F" w14:textId="77777777" w:rsidR="0043292D" w:rsidRPr="0043292D" w:rsidRDefault="00000000" w:rsidP="0043292D">
      <w:pPr>
        <w:numPr>
          <w:ilvl w:val="0"/>
          <w:numId w:val="2"/>
        </w:numPr>
        <w:shd w:val="clear" w:color="auto" w:fill="FFFFFF"/>
        <w:spacing w:before="100" w:beforeAutospacing="1" w:after="100" w:afterAutospacing="1" w:line="240" w:lineRule="auto"/>
        <w:rPr>
          <w:rFonts w:ascii="Arial" w:eastAsia="Times New Roman" w:hAnsi="Arial" w:cs="Arial"/>
          <w:color w:val="515A63"/>
          <w:lang w:eastAsia="en-GB"/>
        </w:rPr>
      </w:pPr>
      <w:hyperlink r:id="rId11" w:tgtFrame="_blank" w:history="1">
        <w:r w:rsidR="0043292D" w:rsidRPr="0043292D">
          <w:rPr>
            <w:rFonts w:ascii="Arial" w:eastAsia="Times New Roman" w:hAnsi="Arial" w:cs="Arial"/>
            <w:color w:val="1059A9"/>
            <w:u w:val="single"/>
            <w:lang w:eastAsia="en-GB"/>
          </w:rPr>
          <w:t>Safeguarding vulnerable groups (838 KB DOC)</w:t>
        </w:r>
      </w:hyperlink>
      <w:r w:rsidR="0043292D" w:rsidRPr="0043292D">
        <w:rPr>
          <w:rFonts w:ascii="Arial" w:eastAsia="Times New Roman" w:hAnsi="Arial" w:cs="Arial"/>
          <w:color w:val="515A63"/>
          <w:lang w:eastAsia="en-GB"/>
        </w:rPr>
        <w:t> – Guidance on how specific groups of vulnerable groups of patients may not be able to manage online record access safely.</w:t>
      </w:r>
    </w:p>
    <w:p w14:paraId="357EB575" w14:textId="77777777" w:rsidR="0043292D" w:rsidRPr="0043292D" w:rsidRDefault="00000000" w:rsidP="0043292D">
      <w:pPr>
        <w:numPr>
          <w:ilvl w:val="0"/>
          <w:numId w:val="2"/>
        </w:numPr>
        <w:shd w:val="clear" w:color="auto" w:fill="FFFFFF"/>
        <w:spacing w:before="100" w:beforeAutospacing="1" w:after="100" w:afterAutospacing="1" w:line="240" w:lineRule="auto"/>
        <w:rPr>
          <w:rFonts w:ascii="Arial" w:eastAsia="Times New Roman" w:hAnsi="Arial" w:cs="Arial"/>
          <w:color w:val="515A63"/>
          <w:lang w:eastAsia="en-GB"/>
        </w:rPr>
      </w:pPr>
      <w:hyperlink r:id="rId12" w:tgtFrame="_blank" w:history="1">
        <w:r w:rsidR="0043292D" w:rsidRPr="0043292D">
          <w:rPr>
            <w:rFonts w:ascii="Arial" w:eastAsia="Times New Roman" w:hAnsi="Arial" w:cs="Arial"/>
            <w:color w:val="1059A9"/>
            <w:u w:val="single"/>
            <w:lang w:eastAsia="en-GB"/>
          </w:rPr>
          <w:t>Online GP records access for sectors (159 KB DOC)</w:t>
        </w:r>
      </w:hyperlink>
      <w:r w:rsidR="0043292D" w:rsidRPr="0043292D">
        <w:rPr>
          <w:rFonts w:ascii="Arial" w:eastAsia="Times New Roman" w:hAnsi="Arial" w:cs="Arial"/>
          <w:color w:val="515A63"/>
          <w:lang w:eastAsia="en-GB"/>
        </w:rPr>
        <w:t> – Guidance on GP online services for other organisations.</w:t>
      </w:r>
    </w:p>
    <w:p w14:paraId="59040ED0" w14:textId="77777777" w:rsidR="0043292D" w:rsidRPr="0043292D" w:rsidRDefault="0043292D" w:rsidP="0043292D">
      <w:pPr>
        <w:numPr>
          <w:ilvl w:val="0"/>
          <w:numId w:val="2"/>
        </w:numPr>
        <w:shd w:val="clear" w:color="auto" w:fill="FFFFFF"/>
        <w:spacing w:before="100" w:beforeAutospacing="1" w:after="100" w:afterAutospacing="1" w:line="240" w:lineRule="auto"/>
        <w:rPr>
          <w:rFonts w:ascii="Arial" w:eastAsia="Times New Roman" w:hAnsi="Arial" w:cs="Arial"/>
          <w:color w:val="515A63"/>
          <w:lang w:eastAsia="en-GB"/>
        </w:rPr>
      </w:pPr>
      <w:r w:rsidRPr="0043292D">
        <w:rPr>
          <w:rFonts w:ascii="Arial" w:eastAsia="Times New Roman" w:hAnsi="Arial" w:cs="Arial"/>
          <w:color w:val="515A63"/>
          <w:lang w:eastAsia="en-GB"/>
        </w:rPr>
        <w:t>The RCGP has several resources in its </w:t>
      </w:r>
      <w:hyperlink r:id="rId13" w:history="1">
        <w:r w:rsidRPr="0043292D">
          <w:rPr>
            <w:rFonts w:ascii="Arial" w:eastAsia="Times New Roman" w:hAnsi="Arial" w:cs="Arial"/>
            <w:color w:val="1059A9"/>
            <w:u w:val="single"/>
            <w:lang w:eastAsia="en-GB"/>
          </w:rPr>
          <w:t>adult safeguarding toolkit</w:t>
        </w:r>
      </w:hyperlink>
      <w:r w:rsidRPr="0043292D">
        <w:rPr>
          <w:rFonts w:ascii="Arial" w:eastAsia="Times New Roman" w:hAnsi="Arial" w:cs="Arial"/>
          <w:color w:val="515A63"/>
          <w:lang w:eastAsia="en-GB"/>
        </w:rPr>
        <w:t> and </w:t>
      </w:r>
      <w:hyperlink r:id="rId14" w:history="1">
        <w:r w:rsidRPr="0043292D">
          <w:rPr>
            <w:rFonts w:ascii="Arial" w:eastAsia="Times New Roman" w:hAnsi="Arial" w:cs="Arial"/>
            <w:color w:val="1059A9"/>
            <w:u w:val="single"/>
            <w:lang w:eastAsia="en-GB"/>
          </w:rPr>
          <w:t>child safeguarding toolkit</w:t>
        </w:r>
      </w:hyperlink>
      <w:r w:rsidRPr="0043292D">
        <w:rPr>
          <w:rFonts w:ascii="Arial" w:eastAsia="Times New Roman" w:hAnsi="Arial" w:cs="Arial"/>
          <w:color w:val="515A63"/>
          <w:lang w:eastAsia="en-GB"/>
        </w:rPr>
        <w:t> on </w:t>
      </w:r>
      <w:r w:rsidRPr="0043292D">
        <w:rPr>
          <w:rFonts w:ascii="Arial" w:eastAsia="Times New Roman" w:hAnsi="Arial" w:cs="Arial"/>
          <w:color w:val="515A63"/>
          <w:lang w:val="en-US" w:eastAsia="en-GB"/>
        </w:rPr>
        <w:t>domestic violence that are relevant to the topic of coercion.</w:t>
      </w:r>
    </w:p>
    <w:p w14:paraId="0BB91C14" w14:textId="77777777" w:rsidR="0043292D" w:rsidRPr="0043292D" w:rsidRDefault="0043292D" w:rsidP="0043292D">
      <w:pPr>
        <w:numPr>
          <w:ilvl w:val="0"/>
          <w:numId w:val="2"/>
        </w:numPr>
        <w:shd w:val="clear" w:color="auto" w:fill="FFFFFF"/>
        <w:spacing w:before="100" w:beforeAutospacing="1" w:after="100" w:afterAutospacing="1" w:line="240" w:lineRule="auto"/>
        <w:rPr>
          <w:rFonts w:ascii="Arial" w:eastAsia="Times New Roman" w:hAnsi="Arial" w:cs="Arial"/>
          <w:color w:val="515A63"/>
          <w:lang w:eastAsia="en-GB"/>
        </w:rPr>
      </w:pPr>
      <w:r w:rsidRPr="0043292D">
        <w:rPr>
          <w:rFonts w:ascii="Arial" w:eastAsia="Times New Roman" w:hAnsi="Arial" w:cs="Arial"/>
          <w:color w:val="515A63"/>
          <w:lang w:eastAsia="en-GB"/>
        </w:rPr>
        <w:t>NICE has succinct advice on </w:t>
      </w:r>
      <w:hyperlink r:id="rId15" w:history="1">
        <w:proofErr w:type="spellStart"/>
        <w:r w:rsidRPr="0043292D">
          <w:rPr>
            <w:rFonts w:ascii="Arial" w:eastAsia="Times New Roman" w:hAnsi="Arial" w:cs="Arial"/>
            <w:color w:val="1059A9"/>
            <w:u w:val="single"/>
            <w:lang w:val="en-US" w:eastAsia="en-GB"/>
          </w:rPr>
          <w:t>recognising</w:t>
        </w:r>
        <w:proofErr w:type="spellEnd"/>
        <w:r w:rsidRPr="0043292D">
          <w:rPr>
            <w:rFonts w:ascii="Arial" w:eastAsia="Times New Roman" w:hAnsi="Arial" w:cs="Arial"/>
            <w:color w:val="1059A9"/>
            <w:u w:val="single"/>
            <w:lang w:val="en-US" w:eastAsia="en-GB"/>
          </w:rPr>
          <w:t xml:space="preserve"> and responding</w:t>
        </w:r>
      </w:hyperlink>
      <w:r w:rsidRPr="0043292D">
        <w:rPr>
          <w:rFonts w:ascii="Arial" w:eastAsia="Times New Roman" w:hAnsi="Arial" w:cs="Arial"/>
          <w:color w:val="515A63"/>
          <w:lang w:eastAsia="en-GB"/>
        </w:rPr>
        <w:t> </w:t>
      </w:r>
      <w:hyperlink r:id="rId16" w:history="1">
        <w:r w:rsidRPr="0043292D">
          <w:rPr>
            <w:rFonts w:ascii="Arial" w:eastAsia="Times New Roman" w:hAnsi="Arial" w:cs="Arial"/>
            <w:color w:val="1059A9"/>
            <w:u w:val="single"/>
            <w:lang w:val="en-US" w:eastAsia="en-GB"/>
          </w:rPr>
          <w:t>to evidence of domestic violence or abuse</w:t>
        </w:r>
      </w:hyperlink>
      <w:r w:rsidRPr="0043292D">
        <w:rPr>
          <w:rFonts w:ascii="Arial" w:eastAsia="Times New Roman" w:hAnsi="Arial" w:cs="Arial"/>
          <w:color w:val="515A63"/>
          <w:lang w:val="en-US" w:eastAsia="en-GB"/>
        </w:rPr>
        <w:t> and in their guidance on </w:t>
      </w:r>
      <w:hyperlink r:id="rId17" w:history="1">
        <w:r w:rsidRPr="0043292D">
          <w:rPr>
            <w:rFonts w:ascii="Arial" w:eastAsia="Times New Roman" w:hAnsi="Arial" w:cs="Arial"/>
            <w:color w:val="1059A9"/>
            <w:u w:val="single"/>
            <w:lang w:val="en-US" w:eastAsia="en-GB"/>
          </w:rPr>
          <w:t>domestic violence and abuse: multi-agency working</w:t>
        </w:r>
      </w:hyperlink>
      <w:r w:rsidRPr="0043292D">
        <w:rPr>
          <w:rFonts w:ascii="Arial" w:eastAsia="Times New Roman" w:hAnsi="Arial" w:cs="Arial"/>
          <w:color w:val="515A63"/>
          <w:lang w:val="en-US" w:eastAsia="en-GB"/>
        </w:rPr>
        <w:t>.</w:t>
      </w:r>
    </w:p>
    <w:p w14:paraId="5776EEED" w14:textId="77777777" w:rsidR="0043292D" w:rsidRPr="0043292D" w:rsidRDefault="0043292D" w:rsidP="0043292D">
      <w:pPr>
        <w:numPr>
          <w:ilvl w:val="0"/>
          <w:numId w:val="2"/>
        </w:numPr>
        <w:shd w:val="clear" w:color="auto" w:fill="FFFFFF"/>
        <w:spacing w:before="100" w:beforeAutospacing="1" w:after="100" w:afterAutospacing="1" w:line="240" w:lineRule="auto"/>
        <w:rPr>
          <w:rFonts w:ascii="Arial" w:eastAsia="Times New Roman" w:hAnsi="Arial" w:cs="Arial"/>
          <w:color w:val="515A63"/>
          <w:lang w:eastAsia="en-GB"/>
        </w:rPr>
      </w:pPr>
      <w:proofErr w:type="spellStart"/>
      <w:r w:rsidRPr="0043292D">
        <w:rPr>
          <w:rFonts w:ascii="Arial" w:eastAsia="Times New Roman" w:hAnsi="Arial" w:cs="Arial"/>
          <w:color w:val="515A63"/>
          <w:lang w:val="en-US" w:eastAsia="en-GB"/>
        </w:rPr>
        <w:t>Safelives</w:t>
      </w:r>
      <w:proofErr w:type="spellEnd"/>
      <w:r w:rsidRPr="0043292D">
        <w:rPr>
          <w:rFonts w:ascii="Arial" w:eastAsia="Times New Roman" w:hAnsi="Arial" w:cs="Arial"/>
          <w:color w:val="515A63"/>
          <w:lang w:val="en-US" w:eastAsia="en-GB"/>
        </w:rPr>
        <w:t xml:space="preserve"> provides many useful </w:t>
      </w:r>
      <w:hyperlink r:id="rId18" w:history="1">
        <w:r w:rsidRPr="0043292D">
          <w:rPr>
            <w:rFonts w:ascii="Arial" w:eastAsia="Times New Roman" w:hAnsi="Arial" w:cs="Arial"/>
            <w:color w:val="1059A9"/>
            <w:u w:val="single"/>
            <w:lang w:val="en-US" w:eastAsia="en-GB"/>
          </w:rPr>
          <w:t>resources on coercion and domestic</w:t>
        </w:r>
      </w:hyperlink>
      <w:hyperlink r:id="rId19" w:history="1">
        <w:r w:rsidRPr="0043292D">
          <w:rPr>
            <w:rFonts w:ascii="Arial" w:eastAsia="Times New Roman" w:hAnsi="Arial" w:cs="Arial"/>
            <w:color w:val="1059A9"/>
            <w:u w:val="single"/>
            <w:lang w:val="en-US" w:eastAsia="en-GB"/>
          </w:rPr>
          <w:t> abuse</w:t>
        </w:r>
      </w:hyperlink>
      <w:r w:rsidRPr="0043292D">
        <w:rPr>
          <w:rFonts w:ascii="Arial" w:eastAsia="Times New Roman" w:hAnsi="Arial" w:cs="Arial"/>
          <w:color w:val="515A63"/>
          <w:lang w:val="en-US" w:eastAsia="en-GB"/>
        </w:rPr>
        <w:t>, including resources for GPs and guidance on identifying domestic abuse.</w:t>
      </w:r>
    </w:p>
    <w:p w14:paraId="48AE6B9E" w14:textId="45FEB2D2" w:rsidR="00CC06A1" w:rsidRPr="0043292D" w:rsidRDefault="00CC06A1" w:rsidP="00CC06A1">
      <w:pPr>
        <w:spacing w:after="0" w:line="240" w:lineRule="auto"/>
        <w:rPr>
          <w:rFonts w:ascii="Arial" w:hAnsi="Arial" w:cs="Arial"/>
          <w:b/>
          <w:bCs/>
          <w:color w:val="231F20"/>
        </w:rPr>
      </w:pPr>
      <w:r w:rsidRPr="0043292D">
        <w:rPr>
          <w:rFonts w:ascii="Arial" w:hAnsi="Arial" w:cs="Arial"/>
          <w:b/>
          <w:bCs/>
          <w:color w:val="231F20"/>
        </w:rPr>
        <w:t>Safeguarding Webinar</w:t>
      </w:r>
    </w:p>
    <w:p w14:paraId="1417CE1A" w14:textId="6A149637" w:rsidR="00CF1B25" w:rsidRPr="0043292D" w:rsidRDefault="00000000" w:rsidP="0043292D">
      <w:pPr>
        <w:spacing w:after="0" w:line="240" w:lineRule="auto"/>
        <w:rPr>
          <w:rFonts w:ascii="Arial" w:hAnsi="Arial" w:cs="Arial"/>
        </w:rPr>
      </w:pPr>
      <w:hyperlink r:id="rId20" w:history="1">
        <w:r w:rsidR="00CC06A1" w:rsidRPr="0043292D">
          <w:rPr>
            <w:rStyle w:val="Hyperlink"/>
            <w:rFonts w:ascii="Arial" w:hAnsi="Arial" w:cs="Arial"/>
          </w:rPr>
          <w:t>Watch</w:t>
        </w:r>
      </w:hyperlink>
      <w:r w:rsidR="00CC06A1" w:rsidRPr="0043292D">
        <w:rPr>
          <w:rFonts w:ascii="Arial" w:hAnsi="Arial" w:cs="Arial"/>
        </w:rPr>
        <w:t xml:space="preserve"> Dr James Higgins and Dr Devin Gray, provide safeguarding updates and present valuable insights from their experience relating to record access, to support those across the primary care community. </w:t>
      </w:r>
    </w:p>
    <w:sectPr w:rsidR="00CF1B25" w:rsidRPr="0043292D">
      <w:head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811DC" w14:textId="77777777" w:rsidR="002E28F9" w:rsidRDefault="002E28F9" w:rsidP="003A4458">
      <w:pPr>
        <w:spacing w:after="0" w:line="240" w:lineRule="auto"/>
      </w:pPr>
      <w:r>
        <w:separator/>
      </w:r>
    </w:p>
  </w:endnote>
  <w:endnote w:type="continuationSeparator" w:id="0">
    <w:p w14:paraId="51C9D336" w14:textId="77777777" w:rsidR="002E28F9" w:rsidRDefault="002E28F9" w:rsidP="003A44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B09732" w14:textId="77777777" w:rsidR="002E28F9" w:rsidRDefault="002E28F9" w:rsidP="003A4458">
      <w:pPr>
        <w:spacing w:after="0" w:line="240" w:lineRule="auto"/>
      </w:pPr>
      <w:r>
        <w:separator/>
      </w:r>
    </w:p>
  </w:footnote>
  <w:footnote w:type="continuationSeparator" w:id="0">
    <w:p w14:paraId="49813128" w14:textId="77777777" w:rsidR="002E28F9" w:rsidRDefault="002E28F9" w:rsidP="003A44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F10745" w14:textId="02E9AE75" w:rsidR="003A4458" w:rsidRDefault="003A4458">
    <w:pPr>
      <w:pStyle w:val="Header"/>
    </w:pPr>
    <w:r>
      <w:rPr>
        <w:noProof/>
      </w:rPr>
      <mc:AlternateContent>
        <mc:Choice Requires="wps">
          <w:drawing>
            <wp:anchor distT="0" distB="0" distL="118745" distR="118745" simplePos="0" relativeHeight="251659264" behindDoc="1" locked="0" layoutInCell="1" allowOverlap="0" wp14:anchorId="59D66624" wp14:editId="0BE77211">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0" b="7620"/>
              <wp:wrapSquare wrapText="bothSides"/>
              <wp:docPr id="197" name="Rectangle 19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50039" cy="270457"/>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rPr>
                            <w:alias w:val="Title"/>
                            <w:tag w:val=""/>
                            <w:id w:val="1189017394"/>
                            <w:dataBinding w:prefixMappings="xmlns:ns0='http://purl.org/dc/elements/1.1/' xmlns:ns1='http://schemas.openxmlformats.org/package/2006/metadata/core-properties' " w:xpath="/ns1:coreProperties[1]/ns0:title[1]" w:storeItemID="{6C3C8BC8-F283-45AE-878A-BAB7291924A1}"/>
                            <w:text/>
                          </w:sdtPr>
                          <w:sdtContent>
                            <w:p w14:paraId="5D6B191A" w14:textId="62218339" w:rsidR="003A4458" w:rsidRDefault="003A4458">
                              <w:pPr>
                                <w:pStyle w:val="Header"/>
                                <w:jc w:val="center"/>
                                <w:rPr>
                                  <w:caps/>
                                  <w:color w:val="FFFFFF" w:themeColor="background1"/>
                                </w:rPr>
                              </w:pPr>
                              <w:r>
                                <w:rPr>
                                  <w:caps/>
                                  <w:color w:val="FFFFFF" w:themeColor="background1"/>
                                </w:rPr>
                                <w:t>Online access to medical records - safeguarding</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59D66624" id="Rectangle 197" o:spid="_x0000_s1026" alt="&quot;&quot;" style="position:absolute;margin-left:0;margin-top:0;width:468.5pt;height:21.3pt;z-index:-2516572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" o:allowoverlap="f" fillcolor="#4472c4 [3204]" stroked="f" strokeweight="1pt">
              <v:textbox style="mso-fit-shape-to-text:t">
                <w:txbxContent>
                  <w:sdt>
                    <w:sdtPr>
                      <w:rPr>
                        <w:caps/>
                        <w:color w:val="FFFFFF" w:themeColor="background1"/>
                      </w:rPr>
                      <w:alias w:val="Title"/>
                      <w:tag w:val=""/>
                      <w:id w:val="1189017394"/>
                      <w:dataBinding w:prefixMappings="xmlns:ns0='http://purl.org/dc/elements/1.1/' xmlns:ns1='http://schemas.openxmlformats.org/package/2006/metadata/core-properties' " w:xpath="/ns1:coreProperties[1]/ns0:title[1]" w:storeItemID="{6C3C8BC8-F283-45AE-878A-BAB7291924A1}"/>
                      <w:text/>
                    </w:sdtPr>
                    <w:sdtContent>
                      <w:p w14:paraId="5D6B191A" w14:textId="62218339" w:rsidR="003A4458" w:rsidRDefault="003A4458">
                        <w:pPr>
                          <w:pStyle w:val="Header"/>
                          <w:jc w:val="center"/>
                          <w:rPr>
                            <w:caps/>
                            <w:color w:val="FFFFFF" w:themeColor="background1"/>
                          </w:rPr>
                        </w:pPr>
                        <w:r>
                          <w:rPr>
                            <w:caps/>
                            <w:color w:val="FFFFFF" w:themeColor="background1"/>
                          </w:rPr>
                          <w:t>Online access to medical records - safeguarding</w:t>
                        </w:r>
                      </w:p>
                    </w:sdtContent>
                  </w:sdt>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223EE"/>
    <w:multiLevelType w:val="multilevel"/>
    <w:tmpl w:val="1C94B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AB3B13"/>
    <w:multiLevelType w:val="multilevel"/>
    <w:tmpl w:val="2D1AB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6290118">
    <w:abstractNumId w:val="0"/>
  </w:num>
  <w:num w:numId="2" w16cid:durableId="8137918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6A1"/>
    <w:rsid w:val="002E28F9"/>
    <w:rsid w:val="003A3711"/>
    <w:rsid w:val="003A4458"/>
    <w:rsid w:val="003E29FC"/>
    <w:rsid w:val="0043292D"/>
    <w:rsid w:val="005162D1"/>
    <w:rsid w:val="005D1225"/>
    <w:rsid w:val="00A47C4D"/>
    <w:rsid w:val="00A93CF1"/>
    <w:rsid w:val="00B40F74"/>
    <w:rsid w:val="00B60B87"/>
    <w:rsid w:val="00C570E7"/>
    <w:rsid w:val="00CC06A1"/>
    <w:rsid w:val="00CF1B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E181A7"/>
  <w15:chartTrackingRefBased/>
  <w15:docId w15:val="{E6BFBC21-C179-4145-99E6-EF64F9E70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06A1"/>
    <w:pPr>
      <w:spacing w:line="252"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06A1"/>
    <w:rPr>
      <w:color w:val="0563C1"/>
      <w:u w:val="single"/>
    </w:rPr>
  </w:style>
  <w:style w:type="character" w:styleId="FollowedHyperlink">
    <w:name w:val="FollowedHyperlink"/>
    <w:basedOn w:val="DefaultParagraphFont"/>
    <w:uiPriority w:val="99"/>
    <w:semiHidden/>
    <w:unhideWhenUsed/>
    <w:rsid w:val="0043292D"/>
    <w:rPr>
      <w:color w:val="954F72" w:themeColor="followedHyperlink"/>
      <w:u w:val="single"/>
    </w:rPr>
  </w:style>
  <w:style w:type="paragraph" w:styleId="Header">
    <w:name w:val="header"/>
    <w:basedOn w:val="Normal"/>
    <w:link w:val="HeaderChar"/>
    <w:uiPriority w:val="99"/>
    <w:unhideWhenUsed/>
    <w:rsid w:val="003A44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4458"/>
    <w:rPr>
      <w:rFonts w:ascii="Calibri" w:hAnsi="Calibri" w:cs="Calibri"/>
    </w:rPr>
  </w:style>
  <w:style w:type="paragraph" w:styleId="Footer">
    <w:name w:val="footer"/>
    <w:basedOn w:val="Normal"/>
    <w:link w:val="FooterChar"/>
    <w:uiPriority w:val="99"/>
    <w:unhideWhenUsed/>
    <w:rsid w:val="003A44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4458"/>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50990">
      <w:bodyDiv w:val="1"/>
      <w:marLeft w:val="0"/>
      <w:marRight w:val="0"/>
      <w:marTop w:val="0"/>
      <w:marBottom w:val="0"/>
      <w:divBdr>
        <w:top w:val="none" w:sz="0" w:space="0" w:color="auto"/>
        <w:left w:val="none" w:sz="0" w:space="0" w:color="auto"/>
        <w:bottom w:val="none" w:sz="0" w:space="0" w:color="auto"/>
        <w:right w:val="none" w:sz="0" w:space="0" w:color="auto"/>
      </w:divBdr>
    </w:div>
    <w:div w:id="1585915806">
      <w:bodyDiv w:val="1"/>
      <w:marLeft w:val="0"/>
      <w:marRight w:val="0"/>
      <w:marTop w:val="0"/>
      <w:marBottom w:val="0"/>
      <w:divBdr>
        <w:top w:val="none" w:sz="0" w:space="0" w:color="auto"/>
        <w:left w:val="none" w:sz="0" w:space="0" w:color="auto"/>
        <w:bottom w:val="none" w:sz="0" w:space="0" w:color="auto"/>
        <w:right w:val="none" w:sz="0" w:space="0" w:color="auto"/>
      </w:divBdr>
    </w:div>
    <w:div w:id="2137984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earning.rcgp.org.uk/mod/book/view.php?id=13455" TargetMode="External"/><Relationship Id="rId13" Type="http://schemas.openxmlformats.org/officeDocument/2006/relationships/hyperlink" Target="https://elearning.rcgp.org.uk/mod/book/view.php?id=12530&amp;chapterid=349" TargetMode="External"/><Relationship Id="rId18" Type="http://schemas.openxmlformats.org/officeDocument/2006/relationships/hyperlink" Target="https://safelives.org.uk/knowledge-hub"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s://digital.nhs.uk/services/nhs-app/nhs-app-guidance-for-gp-practices/guidance-on-nhs-app-features/online-access-to-gp-health-records" TargetMode="External"/><Relationship Id="rId12" Type="http://schemas.openxmlformats.org/officeDocument/2006/relationships/hyperlink" Target="https://elearning.rcgp.org.uk/pluginfile.php/179161/mod_book/chapter/782/Online%20GP%20Record%20Access%20for%20Other%20Sectors.docx" TargetMode="External"/><Relationship Id="rId17" Type="http://schemas.openxmlformats.org/officeDocument/2006/relationships/hyperlink" Target="https://www.nice.org.uk/guidance/ph50" TargetMode="External"/><Relationship Id="rId2" Type="http://schemas.openxmlformats.org/officeDocument/2006/relationships/styles" Target="styles.xml"/><Relationship Id="rId16" Type="http://schemas.openxmlformats.org/officeDocument/2006/relationships/hyperlink" Target="https://www.nice.org.uk/about/nice-communities/social-care/quick-guides/recognising-and-responding-to-domestic-violence-and-abuse" TargetMode="External"/><Relationship Id="rId20" Type="http://schemas.openxmlformats.org/officeDocument/2006/relationships/hyperlink" Target="https://gbr01.safelinks.protection.outlook.com/?url=https%3A%2F%2Ffuture.nhs.uk%2FNHSXImplementation%2Fview%3FobjectID%3D168584517&amp;data=05%7C01%7Clroscoe%40nhs.net%7Cb62d035d9e50440cc38f08db7bde8ebf%7C37c354b285b047f5b22207b48d774ee3%7C0%7C0%7C638239968810860593%7CUnknown%7CTWFpbGZsb3d8eyJWIjoiMC4wLjAwMDAiLCJQIjoiV2luMzIiLCJBTiI6Ik1haWwiLCJXVCI6Mn0%3D%7C3000%7C%7C%7C&amp;sdata=jxQL9fB6HcGOeUJOm0KfYEvuP5%2B2kypW4XynkVv2COA%3D&amp;reserved=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learning.rcgp.org.uk/pluginfile.php/179161/mod_book/chapter/782/Safeguarding%20and%20vulnerable%20groups.docx" TargetMode="External"/><Relationship Id="rId5" Type="http://schemas.openxmlformats.org/officeDocument/2006/relationships/footnotes" Target="footnotes.xml"/><Relationship Id="rId15" Type="http://schemas.openxmlformats.org/officeDocument/2006/relationships/hyperlink" Target="https://www.nice.org.uk/about/nice-communities/social-care/quick-guides/recognising-and-responding-to-domestic-violence-and-abuse" TargetMode="External"/><Relationship Id="rId23" Type="http://schemas.openxmlformats.org/officeDocument/2006/relationships/theme" Target="theme/theme1.xml"/><Relationship Id="rId10" Type="http://schemas.openxmlformats.org/officeDocument/2006/relationships/hyperlink" Target="https://elearning.rcgp.org.uk/pluginfile.php/179161/mod_book/chapter/782/Safeguarding%20and%20automatic%20record%20access.docx" TargetMode="External"/><Relationship Id="rId19" Type="http://schemas.openxmlformats.org/officeDocument/2006/relationships/hyperlink" Target="https://safelives.org.uk/knowledge-hub" TargetMode="External"/><Relationship Id="rId4" Type="http://schemas.openxmlformats.org/officeDocument/2006/relationships/webSettings" Target="webSettings.xml"/><Relationship Id="rId9" Type="http://schemas.openxmlformats.org/officeDocument/2006/relationships/hyperlink" Target="https://elearning.rcgp.org.uk/pluginfile.php/179161/mod_book/chapter/782/Coercion.docx" TargetMode="External"/><Relationship Id="rId14" Type="http://schemas.openxmlformats.org/officeDocument/2006/relationships/hyperlink" Target="https://elearning.rcgp.org.uk/mod/book/view.php?id=12531&amp;chapterid=360"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1</Pages>
  <Words>764</Words>
  <Characters>4361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Online access to medical records - safeguarding</vt:lpstr>
    </vt:vector>
  </TitlesOfParts>
  <Company>NHS</Company>
  <LinksUpToDate>false</LinksUpToDate>
  <CharactersWithSpaces>5115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Online access to medical records - safeguarding</dc:title>
  <dc:subject/>
  <dc:creator>ROSCOE, Louise (DR LONGFIELD AND PARTNERS)</dc:creator>
  <cp:keywords/>
  <dc:description/>
  <cp:lastModifiedBy>FOSTER, Stephanie (NHS LINCOLNSHIRE ICB - 71E)</cp:lastModifiedBy>
  <cp:revision>3</cp:revision>
  <dcterms:created xsi:type="dcterms:W3CDTF">2023-07-04T10:09:00Z</dcterms:created>
  <dcterms:modified xsi:type="dcterms:W3CDTF">2023-07-14T08:57:00Z</dcterms:modified>
</cp:coreProperties>
</file>